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A63" w:rsidRPr="00B55B1D" w:rsidRDefault="00067A63" w:rsidP="00067A63">
      <w:pPr>
        <w:spacing w:after="0"/>
        <w:jc w:val="center"/>
        <w:rPr>
          <w:rFonts w:ascii="Times New Roman" w:hAnsi="Times New Roman"/>
          <w:b/>
          <w:lang w:val="en-GB"/>
        </w:rPr>
      </w:pPr>
    </w:p>
    <w:p w:rsidR="00067A63" w:rsidRPr="00B55B1D" w:rsidRDefault="00067A63" w:rsidP="00067A63">
      <w:pPr>
        <w:spacing w:after="0"/>
        <w:jc w:val="center"/>
        <w:rPr>
          <w:rFonts w:ascii="Times New Roman" w:hAnsi="Times New Roman"/>
          <w:b/>
          <w:lang w:val="en-GB"/>
        </w:rPr>
      </w:pPr>
    </w:p>
    <w:p w:rsidR="00067A63" w:rsidRPr="00B55B1D" w:rsidRDefault="00067A63" w:rsidP="00067A63">
      <w:pPr>
        <w:spacing w:after="0"/>
        <w:jc w:val="center"/>
        <w:rPr>
          <w:rFonts w:ascii="Times New Roman" w:hAnsi="Times New Roman"/>
          <w:b/>
          <w:lang w:val="en-GB"/>
        </w:rPr>
      </w:pPr>
    </w:p>
    <w:p w:rsidR="00067A63" w:rsidRPr="00B55B1D" w:rsidRDefault="00067A63" w:rsidP="00067A63">
      <w:pPr>
        <w:spacing w:after="0"/>
        <w:jc w:val="center"/>
        <w:rPr>
          <w:rFonts w:ascii="Times New Roman" w:hAnsi="Times New Roman"/>
          <w:b/>
          <w:lang w:val="en-GB"/>
        </w:rPr>
      </w:pPr>
    </w:p>
    <w:p w:rsidR="00067A63" w:rsidRPr="00B55B1D" w:rsidRDefault="00067A63" w:rsidP="00067A63">
      <w:pPr>
        <w:spacing w:after="0"/>
        <w:jc w:val="center"/>
        <w:rPr>
          <w:rFonts w:ascii="Times New Roman" w:hAnsi="Times New Roman"/>
          <w:b/>
          <w:lang w:val="en-GB"/>
        </w:rPr>
      </w:pPr>
    </w:p>
    <w:p w:rsidR="00067A63" w:rsidRPr="00B55B1D" w:rsidRDefault="00067A63" w:rsidP="00067A63">
      <w:pPr>
        <w:spacing w:after="0"/>
        <w:jc w:val="center"/>
        <w:rPr>
          <w:rFonts w:ascii="Times New Roman" w:hAnsi="Times New Roman"/>
          <w:b/>
          <w:lang w:val="en-GB"/>
        </w:rPr>
      </w:pPr>
    </w:p>
    <w:p w:rsidR="00067A63" w:rsidRPr="00B55B1D" w:rsidRDefault="00067A63" w:rsidP="00067A63">
      <w:pPr>
        <w:jc w:val="center"/>
        <w:rPr>
          <w:rFonts w:ascii="Times New Roman" w:hAnsi="Times New Roman"/>
          <w:b/>
          <w:sz w:val="28"/>
          <w:lang w:val="en-GB"/>
        </w:rPr>
      </w:pPr>
      <w:r w:rsidRPr="00B55B1D">
        <w:rPr>
          <w:rFonts w:ascii="Times New Roman" w:hAnsi="Times New Roman"/>
          <w:b/>
          <w:sz w:val="28"/>
          <w:lang w:val="en-GB"/>
        </w:rPr>
        <w:t xml:space="preserve">Formalizing indigenous commons: </w:t>
      </w:r>
    </w:p>
    <w:p w:rsidR="00067A63" w:rsidRPr="00B55B1D" w:rsidRDefault="00067A63" w:rsidP="00067A63">
      <w:pPr>
        <w:jc w:val="center"/>
        <w:rPr>
          <w:rFonts w:ascii="Times New Roman" w:hAnsi="Times New Roman"/>
          <w:b/>
          <w:sz w:val="28"/>
          <w:lang w:val="en-GB"/>
        </w:rPr>
      </w:pPr>
      <w:r w:rsidRPr="00B55B1D">
        <w:rPr>
          <w:rFonts w:ascii="Times New Roman" w:hAnsi="Times New Roman"/>
          <w:b/>
          <w:sz w:val="28"/>
          <w:lang w:val="en-GB"/>
        </w:rPr>
        <w:t xml:space="preserve">The role of ‘authority’ in the formation of territories </w:t>
      </w:r>
    </w:p>
    <w:p w:rsidR="00067A63" w:rsidRPr="00B55B1D" w:rsidRDefault="00067A63" w:rsidP="00067A63">
      <w:pPr>
        <w:jc w:val="center"/>
        <w:rPr>
          <w:rFonts w:ascii="Times New Roman" w:hAnsi="Times New Roman"/>
          <w:b/>
          <w:sz w:val="28"/>
          <w:lang w:val="en-GB"/>
        </w:rPr>
      </w:pPr>
      <w:proofErr w:type="gramStart"/>
      <w:r w:rsidRPr="00B55B1D">
        <w:rPr>
          <w:rFonts w:ascii="Times New Roman" w:hAnsi="Times New Roman"/>
          <w:b/>
          <w:sz w:val="28"/>
          <w:lang w:val="en-GB"/>
        </w:rPr>
        <w:t>in</w:t>
      </w:r>
      <w:proofErr w:type="gramEnd"/>
      <w:r w:rsidRPr="00B55B1D">
        <w:rPr>
          <w:rFonts w:ascii="Times New Roman" w:hAnsi="Times New Roman"/>
          <w:b/>
          <w:sz w:val="28"/>
          <w:lang w:val="en-GB"/>
        </w:rPr>
        <w:t xml:space="preserve"> Nicaragua, Bolivia and the Philippines</w:t>
      </w:r>
    </w:p>
    <w:p w:rsidR="00067A63" w:rsidRPr="00B55B1D" w:rsidRDefault="00067A63" w:rsidP="00067A63">
      <w:pPr>
        <w:jc w:val="center"/>
        <w:rPr>
          <w:rFonts w:ascii="Times New Roman" w:hAnsi="Times New Roman"/>
          <w:b/>
          <w:lang w:val="en-GB"/>
        </w:rPr>
      </w:pPr>
    </w:p>
    <w:p w:rsidR="00067A63" w:rsidRPr="00B55B1D" w:rsidRDefault="00067A63" w:rsidP="00067A63">
      <w:pPr>
        <w:jc w:val="center"/>
        <w:rPr>
          <w:rFonts w:ascii="Times New Roman" w:hAnsi="Times New Roman"/>
          <w:b/>
          <w:lang w:val="en-GB"/>
        </w:rPr>
      </w:pPr>
    </w:p>
    <w:p w:rsidR="00067A63" w:rsidRPr="00B55B1D" w:rsidRDefault="00067A63" w:rsidP="00067A63">
      <w:pPr>
        <w:jc w:val="center"/>
        <w:rPr>
          <w:rFonts w:ascii="Times New Roman" w:hAnsi="Times New Roman"/>
          <w:b/>
          <w:lang w:val="en-GB"/>
        </w:rPr>
      </w:pPr>
    </w:p>
    <w:p w:rsidR="00067A63" w:rsidRPr="00B55B1D" w:rsidRDefault="00067A63" w:rsidP="00067A63">
      <w:pPr>
        <w:jc w:val="center"/>
        <w:rPr>
          <w:rFonts w:ascii="Times New Roman" w:hAnsi="Times New Roman"/>
          <w:b/>
          <w:lang w:val="en-GB"/>
        </w:rPr>
      </w:pPr>
    </w:p>
    <w:p w:rsidR="00067A63" w:rsidRPr="00B55B1D" w:rsidRDefault="00067A63" w:rsidP="00067A63">
      <w:pPr>
        <w:jc w:val="center"/>
        <w:rPr>
          <w:rFonts w:ascii="Times New Roman" w:hAnsi="Times New Roman"/>
          <w:b/>
          <w:lang w:val="en-GB"/>
        </w:rPr>
      </w:pPr>
    </w:p>
    <w:p w:rsidR="00067A63" w:rsidRPr="00B55B1D" w:rsidRDefault="00067A63" w:rsidP="00067A63">
      <w:pPr>
        <w:jc w:val="center"/>
        <w:rPr>
          <w:rFonts w:ascii="Times New Roman" w:hAnsi="Times New Roman"/>
          <w:b/>
          <w:lang w:val="en-GB"/>
        </w:rPr>
      </w:pPr>
    </w:p>
    <w:p w:rsidR="00067A63" w:rsidRPr="00B55B1D" w:rsidRDefault="00067A63" w:rsidP="00067A63">
      <w:pPr>
        <w:spacing w:after="0"/>
        <w:jc w:val="center"/>
        <w:rPr>
          <w:rFonts w:ascii="Times New Roman" w:hAnsi="Times New Roman"/>
          <w:b/>
          <w:lang w:val="en-GB"/>
        </w:rPr>
      </w:pPr>
      <w:r w:rsidRPr="00B55B1D">
        <w:rPr>
          <w:rFonts w:ascii="Times New Roman" w:hAnsi="Times New Roman"/>
          <w:b/>
          <w:lang w:val="en-GB"/>
        </w:rPr>
        <w:t>Anne Larson</w:t>
      </w:r>
      <w:r w:rsidR="00AB0200">
        <w:rPr>
          <w:rStyle w:val="FootnoteReference"/>
          <w:rFonts w:ascii="Times New Roman" w:hAnsi="Times New Roman"/>
          <w:b/>
          <w:lang w:val="en-GB"/>
        </w:rPr>
        <w:t>#</w:t>
      </w:r>
      <w:r w:rsidRPr="00B55B1D">
        <w:rPr>
          <w:rFonts w:ascii="Times New Roman" w:hAnsi="Times New Roman"/>
          <w:b/>
          <w:lang w:val="en-GB"/>
        </w:rPr>
        <w:t xml:space="preserve"> and Peter </w:t>
      </w:r>
      <w:proofErr w:type="spellStart"/>
      <w:r w:rsidRPr="00B55B1D">
        <w:rPr>
          <w:rFonts w:ascii="Times New Roman" w:hAnsi="Times New Roman"/>
          <w:b/>
          <w:lang w:val="en-GB"/>
        </w:rPr>
        <w:t>Cronkleton</w:t>
      </w:r>
      <w:proofErr w:type="spellEnd"/>
      <w:r w:rsidR="00AB0200">
        <w:rPr>
          <w:rStyle w:val="FootnoteReference"/>
          <w:rFonts w:ascii="Times New Roman" w:hAnsi="Times New Roman"/>
          <w:b/>
          <w:lang w:val="en-GB"/>
        </w:rPr>
        <w:t>*</w:t>
      </w:r>
    </w:p>
    <w:p w:rsidR="00067A63" w:rsidRPr="00B55B1D" w:rsidRDefault="00067A63" w:rsidP="00067A63">
      <w:pPr>
        <w:spacing w:after="0"/>
        <w:jc w:val="center"/>
        <w:rPr>
          <w:rFonts w:ascii="Times New Roman" w:hAnsi="Times New Roman"/>
          <w:lang w:val="en-GB"/>
        </w:rPr>
      </w:pPr>
    </w:p>
    <w:p w:rsidR="00AB0200" w:rsidRDefault="00AB0200" w:rsidP="00067A63">
      <w:pPr>
        <w:rPr>
          <w:rFonts w:ascii="Times New Roman" w:hAnsi="Times New Roman"/>
          <w:b/>
          <w:lang w:val="en-GB"/>
        </w:rPr>
      </w:pPr>
    </w:p>
    <w:p w:rsidR="00067A63" w:rsidRPr="00B55B1D" w:rsidRDefault="00067A63" w:rsidP="00067A63">
      <w:pPr>
        <w:rPr>
          <w:rFonts w:ascii="Times New Roman" w:hAnsi="Times New Roman"/>
          <w:b/>
          <w:lang w:val="en-GB"/>
        </w:rPr>
      </w:pPr>
    </w:p>
    <w:p w:rsidR="00067A63" w:rsidRPr="00B55B1D" w:rsidRDefault="00067A63" w:rsidP="00067A63">
      <w:pPr>
        <w:rPr>
          <w:rFonts w:ascii="Times New Roman" w:hAnsi="Times New Roman"/>
          <w:b/>
          <w:lang w:val="en-GB"/>
        </w:rPr>
      </w:pPr>
    </w:p>
    <w:p w:rsidR="0037382C" w:rsidRDefault="00AB0200" w:rsidP="0037382C">
      <w:pPr>
        <w:spacing w:after="0"/>
        <w:jc w:val="center"/>
        <w:rPr>
          <w:rFonts w:ascii="Times New Roman" w:hAnsi="Times New Roman"/>
        </w:rPr>
      </w:pPr>
      <w:r w:rsidRPr="00AB0200">
        <w:rPr>
          <w:rFonts w:ascii="Times New Roman" w:hAnsi="Times New Roman"/>
        </w:rPr>
        <w:t>#</w:t>
      </w:r>
      <w:r>
        <w:rPr>
          <w:rFonts w:ascii="Times New Roman" w:hAnsi="Times New Roman"/>
        </w:rPr>
        <w:t xml:space="preserve">Corresponding author, </w:t>
      </w:r>
      <w:r w:rsidRPr="00AB0200">
        <w:rPr>
          <w:rFonts w:ascii="Times New Roman" w:hAnsi="Times New Roman"/>
        </w:rPr>
        <w:t>Center for International Forestr</w:t>
      </w:r>
      <w:r w:rsidR="0037382C">
        <w:rPr>
          <w:rFonts w:ascii="Times New Roman" w:hAnsi="Times New Roman"/>
        </w:rPr>
        <w:t>y Research, Managua, Nicaragua</w:t>
      </w:r>
    </w:p>
    <w:p w:rsidR="00067A63" w:rsidRPr="00AB0200" w:rsidRDefault="00592D7D" w:rsidP="00AB0200">
      <w:pPr>
        <w:jc w:val="center"/>
        <w:rPr>
          <w:rFonts w:ascii="Times New Roman" w:hAnsi="Times New Roman" w:cs="Helvetica"/>
          <w:b/>
          <w:lang w:val="en-GB"/>
        </w:rPr>
      </w:pPr>
      <w:hyperlink r:id="rId8" w:history="1">
        <w:r w:rsidR="0037382C" w:rsidRPr="00670C80">
          <w:rPr>
            <w:rStyle w:val="Hyperlink"/>
            <w:rFonts w:ascii="Times New Roman" w:hAnsi="Times New Roman"/>
          </w:rPr>
          <w:t>a.larson@cgiar.org</w:t>
        </w:r>
      </w:hyperlink>
      <w:r w:rsidR="0037382C">
        <w:rPr>
          <w:rFonts w:ascii="Times New Roman" w:hAnsi="Times New Roman"/>
        </w:rPr>
        <w:t xml:space="preserve"> </w:t>
      </w:r>
    </w:p>
    <w:p w:rsidR="0037382C" w:rsidRDefault="00AB0200" w:rsidP="0037382C">
      <w:pPr>
        <w:spacing w:after="0"/>
        <w:jc w:val="center"/>
        <w:rPr>
          <w:rFonts w:ascii="Times New Roman" w:hAnsi="Times New Roman"/>
        </w:rPr>
      </w:pPr>
      <w:r w:rsidRPr="00AB0200">
        <w:rPr>
          <w:rFonts w:ascii="Times New Roman" w:hAnsi="Times New Roman"/>
        </w:rPr>
        <w:t>*Center for Internationa</w:t>
      </w:r>
      <w:r w:rsidR="0037382C">
        <w:rPr>
          <w:rFonts w:ascii="Times New Roman" w:hAnsi="Times New Roman"/>
        </w:rPr>
        <w:t>l Forestry Research, Lima, Peru</w:t>
      </w:r>
      <w:r w:rsidRPr="00AB0200">
        <w:rPr>
          <w:rFonts w:ascii="Times New Roman" w:hAnsi="Times New Roman"/>
        </w:rPr>
        <w:t xml:space="preserve"> </w:t>
      </w:r>
    </w:p>
    <w:p w:rsidR="00067A63" w:rsidRPr="00AB0200" w:rsidRDefault="00592D7D" w:rsidP="0037382C">
      <w:pPr>
        <w:spacing w:after="0"/>
        <w:jc w:val="center"/>
        <w:rPr>
          <w:rFonts w:ascii="Times New Roman" w:hAnsi="Times New Roman" w:cs="Helvetica"/>
          <w:b/>
          <w:lang w:val="en-GB"/>
        </w:rPr>
      </w:pPr>
      <w:hyperlink r:id="rId9" w:history="1">
        <w:r w:rsidR="0037382C" w:rsidRPr="00670C80">
          <w:rPr>
            <w:rStyle w:val="Hyperlink"/>
            <w:rFonts w:ascii="Times New Roman" w:hAnsi="Times New Roman"/>
          </w:rPr>
          <w:t>pcronkleton@cgiar.org</w:t>
        </w:r>
      </w:hyperlink>
      <w:r w:rsidR="0037382C">
        <w:rPr>
          <w:rFonts w:ascii="Times New Roman" w:hAnsi="Times New Roman"/>
        </w:rPr>
        <w:t xml:space="preserve"> </w:t>
      </w:r>
    </w:p>
    <w:p w:rsidR="00067A63" w:rsidRPr="00B55B1D" w:rsidRDefault="00067A63" w:rsidP="0037382C">
      <w:pPr>
        <w:spacing w:after="0"/>
        <w:rPr>
          <w:rFonts w:ascii="Times New Roman" w:hAnsi="Times New Roman" w:cs="Helvetica"/>
          <w:b/>
          <w:lang w:val="en-GB"/>
        </w:rPr>
      </w:pPr>
    </w:p>
    <w:p w:rsidR="0037382C" w:rsidRDefault="0037382C" w:rsidP="00067A63">
      <w:pPr>
        <w:rPr>
          <w:rFonts w:ascii="Times New Roman" w:hAnsi="Times New Roman" w:cs="Helvetica"/>
          <w:lang w:val="en-GB"/>
        </w:rPr>
      </w:pPr>
    </w:p>
    <w:p w:rsidR="00067A63" w:rsidRPr="0037382C" w:rsidRDefault="00067A63" w:rsidP="00067A63">
      <w:pPr>
        <w:rPr>
          <w:rFonts w:ascii="Times New Roman" w:hAnsi="Times New Roman" w:cs="Helvetica"/>
          <w:lang w:val="en-GB"/>
        </w:rPr>
      </w:pPr>
    </w:p>
    <w:p w:rsidR="00592D7D" w:rsidRDefault="00592D7D" w:rsidP="00A30A37">
      <w:pPr>
        <w:rPr>
          <w:rFonts w:ascii="Times New Roman" w:hAnsi="Times New Roman" w:cs="Helvetica"/>
          <w:lang w:val="en-GB"/>
        </w:rPr>
      </w:pPr>
    </w:p>
    <w:p w:rsidR="00592D7D" w:rsidRDefault="00592D7D" w:rsidP="00A30A37">
      <w:pPr>
        <w:rPr>
          <w:rFonts w:ascii="Times New Roman" w:hAnsi="Times New Roman" w:cs="Helvetica"/>
          <w:lang w:val="en-GB"/>
        </w:rPr>
      </w:pPr>
    </w:p>
    <w:p w:rsidR="00A30A37" w:rsidRPr="0037382C" w:rsidRDefault="0037382C" w:rsidP="00A30A37">
      <w:pPr>
        <w:rPr>
          <w:rFonts w:ascii="Times New Roman" w:hAnsi="Times New Roman" w:cs="Helvetica"/>
          <w:lang w:val="en-GB"/>
        </w:rPr>
      </w:pPr>
      <w:r w:rsidRPr="0037382C">
        <w:rPr>
          <w:rFonts w:ascii="Times New Roman" w:hAnsi="Times New Roman" w:cs="Helvetica"/>
          <w:lang w:val="en-GB"/>
        </w:rPr>
        <w:t xml:space="preserve">A previous version of this paper was presented at the Conference of the International Association for the Study of the Commons (IASC), Hyderabad, India, </w:t>
      </w:r>
      <w:proofErr w:type="gramStart"/>
      <w:r w:rsidRPr="0037382C">
        <w:rPr>
          <w:rFonts w:ascii="Times New Roman" w:hAnsi="Times New Roman" w:cs="Helvetica"/>
          <w:lang w:val="en-GB"/>
        </w:rPr>
        <w:t>January</w:t>
      </w:r>
      <w:proofErr w:type="gramEnd"/>
      <w:r w:rsidRPr="0037382C">
        <w:rPr>
          <w:rFonts w:ascii="Times New Roman" w:hAnsi="Times New Roman" w:cs="Helvetica"/>
          <w:lang w:val="en-GB"/>
        </w:rPr>
        <w:t xml:space="preserve"> 11-14, 2011</w:t>
      </w:r>
      <w:r w:rsidR="00A30A37">
        <w:rPr>
          <w:rFonts w:ascii="Times New Roman" w:hAnsi="Times New Roman" w:cs="Helvetica"/>
          <w:lang w:val="en-GB"/>
        </w:rPr>
        <w:t>; and at</w:t>
      </w:r>
      <w:r w:rsidR="00A30A37" w:rsidRPr="0037382C">
        <w:rPr>
          <w:rFonts w:ascii="Times New Roman" w:hAnsi="Times New Roman" w:cs="Helvetica"/>
          <w:lang w:val="en-GB"/>
        </w:rPr>
        <w:t xml:space="preserve"> the Speaker Series </w:t>
      </w:r>
      <w:r w:rsidR="00A30A37">
        <w:rPr>
          <w:rFonts w:ascii="Times New Roman" w:hAnsi="Times New Roman" w:cs="Helvetica"/>
          <w:lang w:val="en-GB"/>
        </w:rPr>
        <w:t xml:space="preserve">on </w:t>
      </w:r>
      <w:r w:rsidR="00A30A37" w:rsidRPr="0037382C">
        <w:rPr>
          <w:rFonts w:ascii="Times New Roman" w:hAnsi="Times New Roman" w:cs="Helvetica"/>
          <w:lang w:val="en-GB"/>
        </w:rPr>
        <w:t>Democracy and Environment, Social Dimensions of Environmental Policy Initiative, University of Illinois, Urbana-Champagne, April 8, 2011.</w:t>
      </w:r>
    </w:p>
    <w:p w:rsidR="00625F0E" w:rsidRPr="00B55B1D" w:rsidRDefault="00067A63" w:rsidP="00067A63">
      <w:pPr>
        <w:rPr>
          <w:rFonts w:ascii="Times New Roman" w:hAnsi="Times New Roman"/>
          <w:b/>
          <w:lang w:val="en-GB"/>
        </w:rPr>
      </w:pPr>
      <w:r w:rsidRPr="00B55B1D">
        <w:rPr>
          <w:rFonts w:ascii="Times New Roman" w:hAnsi="Times New Roman"/>
          <w:b/>
          <w:lang w:val="en-GB"/>
        </w:rPr>
        <w:br w:type="page"/>
      </w:r>
      <w:r w:rsidR="00625F0E" w:rsidRPr="00052950">
        <w:rPr>
          <w:rFonts w:ascii="Times New Roman" w:hAnsi="Times New Roman"/>
          <w:b/>
          <w:lang w:val="en-GB"/>
        </w:rPr>
        <w:lastRenderedPageBreak/>
        <w:t>Total word count</w:t>
      </w:r>
      <w:r w:rsidR="00236860">
        <w:rPr>
          <w:rFonts w:ascii="Times New Roman" w:hAnsi="Times New Roman"/>
          <w:b/>
          <w:lang w:val="en-GB"/>
        </w:rPr>
        <w:t>:</w:t>
      </w:r>
      <w:r w:rsidR="00625F0E" w:rsidRPr="00B55B1D">
        <w:rPr>
          <w:rFonts w:ascii="Times New Roman" w:hAnsi="Times New Roman"/>
          <w:b/>
          <w:lang w:val="en-GB"/>
        </w:rPr>
        <w:t xml:space="preserve"> </w:t>
      </w:r>
      <w:r w:rsidR="00052950">
        <w:rPr>
          <w:rFonts w:ascii="Times New Roman" w:hAnsi="Times New Roman"/>
          <w:b/>
          <w:lang w:val="en-GB"/>
        </w:rPr>
        <w:t>100</w:t>
      </w:r>
      <w:r w:rsidR="002E56FA">
        <w:rPr>
          <w:rFonts w:ascii="Times New Roman" w:hAnsi="Times New Roman"/>
          <w:b/>
          <w:lang w:val="en-GB"/>
        </w:rPr>
        <w:t>27</w:t>
      </w:r>
      <w:bookmarkStart w:id="0" w:name="_GoBack"/>
    </w:p>
    <w:bookmarkEnd w:id="0"/>
    <w:p w:rsidR="00625F0E" w:rsidRPr="00B55B1D" w:rsidRDefault="00625F0E" w:rsidP="00067A63">
      <w:pPr>
        <w:rPr>
          <w:rFonts w:ascii="Times New Roman" w:hAnsi="Times New Roman"/>
          <w:b/>
          <w:lang w:val="en-GB"/>
        </w:rPr>
      </w:pPr>
    </w:p>
    <w:p w:rsidR="00067A63" w:rsidRPr="00B55B1D" w:rsidRDefault="00067A63" w:rsidP="00067A63">
      <w:pPr>
        <w:rPr>
          <w:rFonts w:ascii="Times New Roman" w:hAnsi="Times New Roman"/>
          <w:b/>
          <w:lang w:val="en-GB"/>
        </w:rPr>
      </w:pPr>
      <w:r w:rsidRPr="00B55B1D">
        <w:rPr>
          <w:rFonts w:ascii="Times New Roman" w:hAnsi="Times New Roman"/>
          <w:b/>
          <w:lang w:val="en-GB"/>
        </w:rPr>
        <w:t>Abstract</w:t>
      </w:r>
    </w:p>
    <w:p w:rsidR="00C34B47" w:rsidRPr="00B55B1D" w:rsidRDefault="00067A63" w:rsidP="00067A63">
      <w:pPr>
        <w:rPr>
          <w:rFonts w:ascii="Times New Roman" w:hAnsi="Times New Roman" w:cs="Helvetica"/>
          <w:lang w:val="en-GB"/>
        </w:rPr>
      </w:pPr>
      <w:r w:rsidRPr="00B55B1D">
        <w:rPr>
          <w:rFonts w:ascii="Times New Roman" w:hAnsi="Times New Roman"/>
          <w:lang w:val="en-GB"/>
        </w:rPr>
        <w:t xml:space="preserve">Indigenous peoples have sometimes sought the formalization of their customary territories to demand the enforcement of their borders, which have often not been respected by outsiders or the state. The process of formalization, however, generates new conflicts. </w:t>
      </w:r>
      <w:r w:rsidRPr="00B55B1D">
        <w:rPr>
          <w:rFonts w:ascii="Times New Roman" w:hAnsi="Times New Roman" w:cs="Helvetica"/>
          <w:lang w:val="en-GB"/>
        </w:rPr>
        <w:t xml:space="preserve">This article explores how the recognition of indigenous forest commons is connected to questions about authority. </w:t>
      </w:r>
      <w:r w:rsidRPr="00B55B1D">
        <w:rPr>
          <w:rFonts w:ascii="Times New Roman" w:hAnsi="Times New Roman"/>
          <w:lang w:val="en-GB"/>
        </w:rPr>
        <w:t xml:space="preserve">The process of constituting collective territories is intimately related to the constitution of authority, as it involves not only the negotiation of physical boundaries but also the recognition of a particular entity to represent the collective. Though an entity that holds leadership powers may already exist, it is likely to be endowed with new decision-making powers and responsibilities; and in many cases a new entity will have to be created. This is not a ‘local’ process but rather emerges at the intersection of relations between the community, or territory, and the state. Similarly, given that ‘authority’ implies legitimacy, such legitimacy will have to be produced. </w:t>
      </w:r>
      <w:r w:rsidRPr="00B55B1D">
        <w:rPr>
          <w:rFonts w:ascii="Times New Roman" w:hAnsi="Times New Roman" w:cs="Helvetica"/>
          <w:lang w:val="en-GB"/>
        </w:rPr>
        <w:t xml:space="preserve">Drawing on a comparison of cases of two indigenous territories in Nicaragua and Bolivia and an ancestral domain in the Philippines, this article shows how authority emerges from often conflictive processes of constructing the commons and shapes community rights to – and powers over </w:t>
      </w:r>
      <w:r w:rsidR="00C34B47" w:rsidRPr="00B55B1D">
        <w:rPr>
          <w:rFonts w:ascii="Times New Roman" w:hAnsi="Times New Roman" w:cs="Helvetica"/>
          <w:lang w:val="en-GB"/>
        </w:rPr>
        <w:t>– forests and forest resources.</w:t>
      </w:r>
    </w:p>
    <w:p w:rsidR="00067A63" w:rsidRPr="00B55B1D" w:rsidRDefault="00067A63" w:rsidP="00067A63">
      <w:pPr>
        <w:rPr>
          <w:rFonts w:ascii="Times New Roman" w:hAnsi="Times New Roman" w:cs="Helvetica"/>
          <w:lang w:val="en-GB"/>
        </w:rPr>
      </w:pPr>
    </w:p>
    <w:p w:rsidR="00067A63" w:rsidRPr="00B55B1D" w:rsidRDefault="00067A63" w:rsidP="00067A63">
      <w:pPr>
        <w:rPr>
          <w:rFonts w:ascii="Times New Roman" w:hAnsi="Times New Roman"/>
          <w:szCs w:val="20"/>
          <w:lang w:val="en-GB"/>
        </w:rPr>
      </w:pPr>
      <w:r w:rsidRPr="00B55B1D">
        <w:rPr>
          <w:rFonts w:ascii="Times New Roman" w:hAnsi="Times New Roman"/>
          <w:b/>
          <w:szCs w:val="20"/>
          <w:lang w:val="en-GB"/>
        </w:rPr>
        <w:t>Key words:</w:t>
      </w:r>
      <w:r w:rsidRPr="00B55B1D">
        <w:rPr>
          <w:rFonts w:ascii="Times New Roman" w:hAnsi="Times New Roman"/>
          <w:szCs w:val="20"/>
          <w:lang w:val="en-GB"/>
        </w:rPr>
        <w:t xml:space="preserve"> </w:t>
      </w:r>
      <w:r w:rsidRPr="00052950">
        <w:rPr>
          <w:rFonts w:ascii="Times New Roman" w:hAnsi="Times New Roman"/>
          <w:szCs w:val="20"/>
          <w:lang w:val="en-GB"/>
        </w:rPr>
        <w:t xml:space="preserve">indigenous rights, demarcation, forest commons, formalization, </w:t>
      </w:r>
      <w:proofErr w:type="gramStart"/>
      <w:r w:rsidRPr="00052950">
        <w:rPr>
          <w:rFonts w:ascii="Times New Roman" w:hAnsi="Times New Roman"/>
          <w:szCs w:val="20"/>
          <w:lang w:val="en-GB"/>
        </w:rPr>
        <w:t>property</w:t>
      </w:r>
      <w:proofErr w:type="gramEnd"/>
      <w:r w:rsidRPr="00052950">
        <w:rPr>
          <w:rFonts w:ascii="Times New Roman" w:hAnsi="Times New Roman"/>
          <w:szCs w:val="20"/>
          <w:lang w:val="en-GB"/>
        </w:rPr>
        <w:t xml:space="preserve"> rights</w:t>
      </w:r>
    </w:p>
    <w:p w:rsidR="00067A63" w:rsidRPr="00B55B1D" w:rsidRDefault="00067A63" w:rsidP="00067A63">
      <w:pPr>
        <w:rPr>
          <w:rFonts w:ascii="Times New Roman" w:hAnsi="Times New Roman" w:cs="Helvetica"/>
          <w:b/>
          <w:lang w:val="en-GB"/>
        </w:rPr>
      </w:pPr>
    </w:p>
    <w:p w:rsidR="00067A63" w:rsidRPr="00B55B1D" w:rsidRDefault="00067A63" w:rsidP="00067A63">
      <w:pPr>
        <w:spacing w:after="0"/>
        <w:rPr>
          <w:rFonts w:ascii="Times New Roman" w:hAnsi="Times New Roman" w:cs="Helvetica"/>
          <w:b/>
          <w:lang w:val="en-GB"/>
        </w:rPr>
      </w:pPr>
      <w:r w:rsidRPr="00B55B1D">
        <w:rPr>
          <w:rFonts w:ascii="Times New Roman" w:hAnsi="Times New Roman" w:cs="Helvetica"/>
          <w:b/>
          <w:lang w:val="en-GB"/>
        </w:rPr>
        <w:br w:type="page"/>
      </w:r>
      <w:r w:rsidR="00EC1BE5" w:rsidRPr="00B55B1D">
        <w:rPr>
          <w:rFonts w:ascii="Times New Roman" w:hAnsi="Times New Roman" w:cs="Helvetica"/>
          <w:b/>
          <w:lang w:val="en-GB"/>
        </w:rPr>
        <w:lastRenderedPageBreak/>
        <w:t>INTRODUCTION</w:t>
      </w:r>
    </w:p>
    <w:p w:rsidR="00067A63" w:rsidRPr="00B55B1D" w:rsidRDefault="00067A63" w:rsidP="00067A63">
      <w:pPr>
        <w:spacing w:after="0"/>
        <w:rPr>
          <w:rFonts w:ascii="Times New Roman" w:hAnsi="Times New Roman" w:cs="Helvetica"/>
          <w:lang w:val="en-GB"/>
        </w:rPr>
      </w:pPr>
    </w:p>
    <w:p w:rsidR="00067A63" w:rsidRPr="00B55B1D" w:rsidRDefault="00067A63" w:rsidP="00067A63">
      <w:pPr>
        <w:widowControl w:val="0"/>
        <w:spacing w:after="0"/>
        <w:contextualSpacing/>
        <w:rPr>
          <w:rFonts w:ascii="Times New Roman" w:hAnsi="Times New Roman"/>
          <w:lang w:val="en-GB"/>
        </w:rPr>
      </w:pPr>
      <w:r w:rsidRPr="00B55B1D">
        <w:rPr>
          <w:rFonts w:ascii="Times New Roman" w:hAnsi="Times New Roman"/>
          <w:lang w:val="en-GB"/>
        </w:rPr>
        <w:t>Since the mid 1980s, governments have begun to recognize the rights of communities living in forests that they have managed or used historically under customa</w:t>
      </w:r>
      <w:r w:rsidR="007C32E7" w:rsidRPr="00B55B1D">
        <w:rPr>
          <w:rFonts w:ascii="Times New Roman" w:hAnsi="Times New Roman"/>
          <w:lang w:val="en-GB"/>
        </w:rPr>
        <w:t>ry in</w:t>
      </w:r>
      <w:r w:rsidR="001B5642" w:rsidRPr="00B55B1D">
        <w:rPr>
          <w:rFonts w:ascii="Times New Roman" w:hAnsi="Times New Roman"/>
          <w:lang w:val="en-GB"/>
        </w:rPr>
        <w:t>stitutions (</w:t>
      </w:r>
      <w:proofErr w:type="spellStart"/>
      <w:r w:rsidR="001B5642" w:rsidRPr="00B55B1D">
        <w:rPr>
          <w:rFonts w:ascii="Times New Roman" w:hAnsi="Times New Roman"/>
          <w:lang w:val="en-GB"/>
        </w:rPr>
        <w:t>Agrawal</w:t>
      </w:r>
      <w:proofErr w:type="spellEnd"/>
      <w:r w:rsidR="001B5642" w:rsidRPr="00B55B1D">
        <w:rPr>
          <w:rFonts w:ascii="Times New Roman" w:hAnsi="Times New Roman"/>
          <w:lang w:val="en-GB"/>
        </w:rPr>
        <w:t xml:space="preserve"> et al.</w:t>
      </w:r>
      <w:r w:rsidR="003E5D58" w:rsidRPr="00B55B1D">
        <w:rPr>
          <w:rFonts w:ascii="Times New Roman" w:hAnsi="Times New Roman"/>
          <w:lang w:val="en-GB"/>
        </w:rPr>
        <w:t>, 2008;</w:t>
      </w:r>
      <w:r w:rsidR="007C32E7" w:rsidRPr="00B55B1D">
        <w:rPr>
          <w:rFonts w:ascii="Times New Roman" w:hAnsi="Times New Roman"/>
          <w:lang w:val="en-GB"/>
        </w:rPr>
        <w:t xml:space="preserve"> Larson et al.</w:t>
      </w:r>
      <w:r w:rsidR="003E5D58" w:rsidRPr="00B55B1D">
        <w:rPr>
          <w:rFonts w:ascii="Times New Roman" w:hAnsi="Times New Roman"/>
          <w:lang w:val="en-GB"/>
        </w:rPr>
        <w:t>, 2010a;</w:t>
      </w:r>
      <w:r w:rsidR="007C32E7" w:rsidRPr="00B55B1D">
        <w:rPr>
          <w:rFonts w:ascii="Times New Roman" w:hAnsi="Times New Roman"/>
          <w:lang w:val="en-GB"/>
        </w:rPr>
        <w:t xml:space="preserve"> </w:t>
      </w:r>
      <w:proofErr w:type="spellStart"/>
      <w:r w:rsidR="007C32E7" w:rsidRPr="00B55B1D">
        <w:rPr>
          <w:rFonts w:ascii="Times New Roman" w:hAnsi="Times New Roman"/>
          <w:lang w:val="en-GB"/>
        </w:rPr>
        <w:t>Sunderlin</w:t>
      </w:r>
      <w:proofErr w:type="spellEnd"/>
      <w:r w:rsidR="007C32E7"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w:t>
      </w:r>
      <w:r w:rsidR="003E5D58" w:rsidRPr="00B55B1D">
        <w:rPr>
          <w:rFonts w:ascii="Times New Roman" w:hAnsi="Times New Roman"/>
          <w:lang w:val="en-GB"/>
        </w:rPr>
        <w:t>;</w:t>
      </w:r>
      <w:r w:rsidR="007C32E7" w:rsidRPr="00B55B1D">
        <w:rPr>
          <w:rFonts w:ascii="Times New Roman" w:hAnsi="Times New Roman"/>
          <w:lang w:val="en-GB"/>
        </w:rPr>
        <w:t xml:space="preserve"> White and Martin</w:t>
      </w:r>
      <w:r w:rsidRPr="00B55B1D">
        <w:rPr>
          <w:rFonts w:ascii="Times New Roman" w:hAnsi="Times New Roman"/>
          <w:lang w:val="en-GB"/>
        </w:rPr>
        <w:t xml:space="preserve"> 2002). Today about a quarter of the forestlands in developing countries are formally in the hands of indigenous people and communities (Hatcher, pers. comm., based on data from </w:t>
      </w:r>
      <w:proofErr w:type="spellStart"/>
      <w:r w:rsidRPr="00B55B1D">
        <w:rPr>
          <w:rFonts w:ascii="Times New Roman" w:hAnsi="Times New Roman"/>
          <w:lang w:val="en-GB"/>
        </w:rPr>
        <w:t>Sunderlin</w:t>
      </w:r>
      <w:proofErr w:type="spellEnd"/>
      <w:r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 The largest portion of this shift from state to local land tenure comprises land now owned or managed by indigenous and traditional peoples in Latin America, and one of the most important factors behind it has been the international indigenous movement.</w:t>
      </w:r>
    </w:p>
    <w:p w:rsidR="00067A63" w:rsidRPr="00B55B1D" w:rsidRDefault="00067A63" w:rsidP="00067A63">
      <w:pPr>
        <w:widowControl w:val="0"/>
        <w:spacing w:after="0"/>
        <w:contextualSpacing/>
        <w:rPr>
          <w:rFonts w:ascii="Times New Roman" w:hAnsi="Times New Roman"/>
          <w:lang w:val="en-GB"/>
        </w:rPr>
      </w:pPr>
    </w:p>
    <w:p w:rsidR="00067A63" w:rsidRPr="00B55B1D" w:rsidRDefault="00067A63" w:rsidP="00067A63">
      <w:pPr>
        <w:widowControl w:val="0"/>
        <w:spacing w:after="0"/>
        <w:contextualSpacing/>
        <w:rPr>
          <w:rFonts w:ascii="Times New Roman" w:hAnsi="Times New Roman"/>
          <w:lang w:val="en-GB"/>
        </w:rPr>
      </w:pPr>
      <w:r w:rsidRPr="00B55B1D">
        <w:rPr>
          <w:rFonts w:ascii="Times New Roman" w:hAnsi="Times New Roman"/>
          <w:lang w:val="en-GB"/>
        </w:rPr>
        <w:t>The types of rights recognized vary around the world. They may involve rights to resources or resource revenues that were not previously acknowledged; they may be temporar</w:t>
      </w:r>
      <w:r w:rsidR="007C32E7" w:rsidRPr="00B55B1D">
        <w:rPr>
          <w:rFonts w:ascii="Times New Roman" w:hAnsi="Times New Roman"/>
          <w:lang w:val="en-GB"/>
        </w:rPr>
        <w:t>y or conditional (Larson et al.</w:t>
      </w:r>
      <w:r w:rsidR="003E5D58" w:rsidRPr="00B55B1D">
        <w:rPr>
          <w:rFonts w:ascii="Times New Roman" w:hAnsi="Times New Roman"/>
          <w:lang w:val="en-GB"/>
        </w:rPr>
        <w:t>,</w:t>
      </w:r>
      <w:r w:rsidRPr="00B55B1D">
        <w:rPr>
          <w:rFonts w:ascii="Times New Roman" w:hAnsi="Times New Roman"/>
          <w:lang w:val="en-GB"/>
        </w:rPr>
        <w:t xml:space="preserve"> 2010b). In the cases of indigenous peoples, however, the recognition of rights is more likely to involve the demarcation and titling of large territories, rooted in the struggle for identity, representation and cultural reproduction, as well as control over resources (</w:t>
      </w:r>
      <w:proofErr w:type="spellStart"/>
      <w:r w:rsidRPr="00B55B1D">
        <w:rPr>
          <w:rFonts w:ascii="Times New Roman" w:hAnsi="Times New Roman"/>
          <w:lang w:val="en-GB"/>
        </w:rPr>
        <w:t>Bae</w:t>
      </w:r>
      <w:proofErr w:type="spellEnd"/>
      <w:r w:rsidR="003E5D58" w:rsidRPr="00B55B1D">
        <w:rPr>
          <w:rFonts w:ascii="Times New Roman" w:hAnsi="Times New Roman"/>
          <w:lang w:val="en-GB"/>
        </w:rPr>
        <w:t>,</w:t>
      </w:r>
      <w:r w:rsidRPr="00B55B1D">
        <w:rPr>
          <w:rFonts w:ascii="Times New Roman" w:hAnsi="Times New Roman"/>
          <w:lang w:val="en-GB"/>
        </w:rPr>
        <w:t xml:space="preserve"> 200</w:t>
      </w:r>
      <w:r w:rsidR="003E5D58" w:rsidRPr="00B55B1D">
        <w:rPr>
          <w:rFonts w:ascii="Times New Roman" w:hAnsi="Times New Roman"/>
          <w:lang w:val="en-GB"/>
        </w:rPr>
        <w:t>5;</w:t>
      </w:r>
      <w:r w:rsidRPr="00B55B1D">
        <w:rPr>
          <w:rFonts w:ascii="Times New Roman" w:hAnsi="Times New Roman"/>
          <w:lang w:val="en-GB"/>
        </w:rPr>
        <w:t xml:space="preserve"> </w:t>
      </w:r>
      <w:r w:rsidR="003E5D58" w:rsidRPr="00B55B1D">
        <w:rPr>
          <w:rFonts w:ascii="Times New Roman" w:hAnsi="Times New Roman"/>
          <w:lang w:val="en-GB"/>
        </w:rPr>
        <w:t xml:space="preserve">Barry et al., 2010; Plant and </w:t>
      </w:r>
      <w:proofErr w:type="spellStart"/>
      <w:r w:rsidR="003E5D58" w:rsidRPr="00B55B1D">
        <w:rPr>
          <w:rFonts w:ascii="Times New Roman" w:hAnsi="Times New Roman"/>
          <w:lang w:val="en-GB"/>
        </w:rPr>
        <w:t>Hvalkof</w:t>
      </w:r>
      <w:proofErr w:type="spellEnd"/>
      <w:r w:rsidR="003E5D58" w:rsidRPr="00B55B1D">
        <w:rPr>
          <w:rFonts w:ascii="Times New Roman" w:hAnsi="Times New Roman"/>
          <w:lang w:val="en-GB"/>
        </w:rPr>
        <w:t>, 2001</w:t>
      </w:r>
      <w:r w:rsidRPr="00B55B1D">
        <w:rPr>
          <w:rFonts w:ascii="Times New Roman" w:hAnsi="Times New Roman"/>
          <w:lang w:val="en-GB"/>
        </w:rPr>
        <w:t>).</w:t>
      </w:r>
    </w:p>
    <w:p w:rsidR="00067A63" w:rsidRPr="00B55B1D" w:rsidRDefault="00067A63" w:rsidP="00067A63">
      <w:pPr>
        <w:spacing w:after="0"/>
        <w:rPr>
          <w:rFonts w:ascii="Times New Roman" w:hAnsi="Times New Roman" w:cs="Helvetica"/>
          <w:lang w:val="en-GB"/>
        </w:rPr>
      </w:pPr>
    </w:p>
    <w:p w:rsidR="00067A63" w:rsidRPr="00B55B1D" w:rsidRDefault="00067A63" w:rsidP="00067A63">
      <w:pPr>
        <w:spacing w:after="0"/>
        <w:rPr>
          <w:rFonts w:ascii="Times New Roman" w:hAnsi="Times New Roman" w:cs="Helvetica"/>
          <w:lang w:val="en-GB"/>
        </w:rPr>
      </w:pPr>
      <w:r w:rsidRPr="00B55B1D">
        <w:rPr>
          <w:rFonts w:ascii="Times New Roman" w:hAnsi="Times New Roman" w:cs="Helvetica"/>
          <w:lang w:val="en-GB"/>
        </w:rPr>
        <w:t xml:space="preserve">What does authority have to do with the recognition of indigenous rights to land and forest? The idea of recognizing rights implies a simple process of giving one’s blessing, in this case the state’s legal blessing, to something that already exists. The relevant definitions in Webster’s dictionary define the term to </w:t>
      </w:r>
      <w:r w:rsidRPr="00B55B1D">
        <w:rPr>
          <w:rFonts w:ascii="Times New Roman" w:hAnsi="Times New Roman" w:cs="Helvetica"/>
          <w:i/>
          <w:lang w:val="en-GB"/>
        </w:rPr>
        <w:t>recognize</w:t>
      </w:r>
      <w:r w:rsidRPr="00B55B1D">
        <w:rPr>
          <w:rFonts w:ascii="Times New Roman" w:hAnsi="Times New Roman" w:cs="Helvetica"/>
          <w:lang w:val="en-GB"/>
        </w:rPr>
        <w:t xml:space="preserve"> as ‘to admit the fact of’ or ‘to acknowledge formally’ (Webster</w:t>
      </w:r>
      <w:r w:rsidR="003E5D58" w:rsidRPr="00B55B1D">
        <w:rPr>
          <w:rFonts w:ascii="Times New Roman" w:hAnsi="Times New Roman" w:cs="Helvetica"/>
          <w:lang w:val="en-GB"/>
        </w:rPr>
        <w:t>,</w:t>
      </w:r>
      <w:r w:rsidRPr="00B55B1D">
        <w:rPr>
          <w:rFonts w:ascii="Times New Roman" w:hAnsi="Times New Roman" w:cs="Helvetica"/>
          <w:lang w:val="en-GB"/>
        </w:rPr>
        <w:t xml:space="preserve"> 1967). But the reality of recognizing people’s rights to land is a far more complex process. </w:t>
      </w:r>
      <w:r w:rsidR="002B20E9">
        <w:rPr>
          <w:rFonts w:ascii="Times New Roman" w:hAnsi="Times New Roman" w:cs="Helvetica"/>
          <w:lang w:val="en-GB"/>
        </w:rPr>
        <w:t>T</w:t>
      </w:r>
      <w:r w:rsidRPr="00B55B1D">
        <w:rPr>
          <w:rFonts w:ascii="Times New Roman" w:hAnsi="Times New Roman" w:cs="Helvetica"/>
          <w:lang w:val="en-GB"/>
        </w:rPr>
        <w:t>his article looks specifically at issues of ‘authority’ as they become apparent in three different ways:</w:t>
      </w:r>
    </w:p>
    <w:p w:rsidR="00067A63" w:rsidRPr="00B55B1D" w:rsidRDefault="00067A63" w:rsidP="00067A63">
      <w:pPr>
        <w:spacing w:after="0"/>
        <w:rPr>
          <w:rFonts w:ascii="Times New Roman" w:hAnsi="Times New Roman" w:cs="Helvetica"/>
          <w:lang w:val="en-GB"/>
        </w:rPr>
      </w:pPr>
    </w:p>
    <w:p w:rsidR="00067A63" w:rsidRPr="00B55B1D" w:rsidRDefault="00067A63" w:rsidP="00067A63">
      <w:pPr>
        <w:spacing w:after="0"/>
        <w:rPr>
          <w:rFonts w:ascii="Times New Roman" w:hAnsi="Times New Roman" w:cs="Helvetica"/>
          <w:lang w:val="en-GB"/>
        </w:rPr>
      </w:pPr>
      <w:r w:rsidRPr="00B55B1D">
        <w:rPr>
          <w:rFonts w:ascii="Times New Roman" w:hAnsi="Times New Roman" w:cs="Helvetica"/>
          <w:lang w:val="en-GB"/>
        </w:rPr>
        <w:t xml:space="preserve">First, recognizing land tenure rights involves choosing an entity or person to be the legal representative of the </w:t>
      </w:r>
      <w:proofErr w:type="spellStart"/>
      <w:r w:rsidRPr="00B55B1D">
        <w:rPr>
          <w:rFonts w:ascii="Times New Roman" w:hAnsi="Times New Roman" w:cs="Helvetica"/>
          <w:lang w:val="en-GB"/>
        </w:rPr>
        <w:t>rightsholders</w:t>
      </w:r>
      <w:proofErr w:type="spellEnd"/>
      <w:r w:rsidRPr="00B55B1D">
        <w:rPr>
          <w:rFonts w:ascii="Times New Roman" w:hAnsi="Times New Roman" w:cs="Helvetica"/>
          <w:lang w:val="en-GB"/>
        </w:rPr>
        <w:t xml:space="preserve"> (see Fitzpatrick</w:t>
      </w:r>
      <w:r w:rsidR="003E5D58" w:rsidRPr="00B55B1D">
        <w:rPr>
          <w:rFonts w:ascii="Times New Roman" w:hAnsi="Times New Roman" w:cs="Helvetica"/>
          <w:lang w:val="en-GB"/>
        </w:rPr>
        <w:t>,</w:t>
      </w:r>
      <w:r w:rsidRPr="00B55B1D">
        <w:rPr>
          <w:rFonts w:ascii="Times New Roman" w:hAnsi="Times New Roman" w:cs="Helvetica"/>
          <w:lang w:val="en-GB"/>
        </w:rPr>
        <w:t xml:space="preserve"> 2005). Even in cases whereby the names of all the people receiving rights appear on the land title (as in some cases of communal lands in the Guatemalan highlands</w:t>
      </w:r>
      <w:r w:rsidR="002A7121" w:rsidRPr="00B55B1D">
        <w:rPr>
          <w:rFonts w:ascii="Times New Roman" w:hAnsi="Times New Roman" w:cs="Helvetica"/>
          <w:lang w:val="en-GB"/>
        </w:rPr>
        <w:t>,</w:t>
      </w:r>
      <w:r w:rsidRPr="00B55B1D">
        <w:rPr>
          <w:rFonts w:ascii="Times New Roman" w:hAnsi="Times New Roman" w:cs="Helvetica"/>
          <w:lang w:val="en-GB"/>
        </w:rPr>
        <w:t xml:space="preserve"> for example), some entity needs to act on behalf of the group. Often the title or right is granted in the name of this entity, on the assumption that it is a legitimate representative of residents.</w:t>
      </w:r>
    </w:p>
    <w:p w:rsidR="00067A63" w:rsidRPr="00B55B1D" w:rsidRDefault="00067A63" w:rsidP="00067A63">
      <w:pPr>
        <w:spacing w:after="0"/>
        <w:rPr>
          <w:rFonts w:ascii="Times New Roman" w:hAnsi="Times New Roman" w:cs="Helvetica"/>
          <w:lang w:val="en-GB"/>
        </w:rPr>
      </w:pPr>
    </w:p>
    <w:p w:rsidR="00067A63" w:rsidRPr="00B55B1D" w:rsidRDefault="00067A63" w:rsidP="00067A63">
      <w:pPr>
        <w:spacing w:after="0"/>
        <w:rPr>
          <w:rFonts w:ascii="Times New Roman" w:hAnsi="Times New Roman" w:cs="Helvetica"/>
          <w:lang w:val="en-GB"/>
        </w:rPr>
      </w:pPr>
      <w:r w:rsidRPr="00B55B1D">
        <w:rPr>
          <w:rFonts w:ascii="Times New Roman" w:hAnsi="Times New Roman" w:cs="Helvetica"/>
          <w:lang w:val="en-GB"/>
        </w:rPr>
        <w:t>Second, establishing this representative involves defining its domain of powers, or sphere of competence (Fay</w:t>
      </w:r>
      <w:r w:rsidR="003E5D58" w:rsidRPr="00B55B1D">
        <w:rPr>
          <w:rFonts w:ascii="Times New Roman" w:hAnsi="Times New Roman" w:cs="Helvetica"/>
          <w:lang w:val="en-GB"/>
        </w:rPr>
        <w:t>,</w:t>
      </w:r>
      <w:r w:rsidRPr="00B55B1D">
        <w:rPr>
          <w:rFonts w:ascii="Times New Roman" w:hAnsi="Times New Roman" w:cs="Helvetica"/>
          <w:lang w:val="en-GB"/>
        </w:rPr>
        <w:t xml:space="preserve"> 2008). </w:t>
      </w:r>
      <w:r w:rsidR="002D654B" w:rsidRPr="00B55B1D">
        <w:rPr>
          <w:rFonts w:ascii="Times New Roman" w:hAnsi="Times New Roman" w:cs="Helvetica"/>
          <w:lang w:val="en-GB"/>
        </w:rPr>
        <w:t xml:space="preserve">Legal recognition by definition changes the rules regarding action and </w:t>
      </w:r>
      <w:proofErr w:type="gramStart"/>
      <w:r w:rsidR="002D654B" w:rsidRPr="00B55B1D">
        <w:rPr>
          <w:rFonts w:ascii="Times New Roman" w:hAnsi="Times New Roman" w:cs="Helvetica"/>
          <w:lang w:val="en-GB"/>
        </w:rPr>
        <w:t>decision making</w:t>
      </w:r>
      <w:proofErr w:type="gramEnd"/>
      <w:r w:rsidR="002D654B" w:rsidRPr="00B55B1D">
        <w:rPr>
          <w:rFonts w:ascii="Times New Roman" w:hAnsi="Times New Roman" w:cs="Helvetica"/>
          <w:lang w:val="en-GB"/>
        </w:rPr>
        <w:t xml:space="preserve">. </w:t>
      </w:r>
      <w:r w:rsidRPr="00B55B1D">
        <w:rPr>
          <w:rFonts w:ascii="Times New Roman" w:hAnsi="Times New Roman" w:cs="Helvetica"/>
          <w:lang w:val="en-GB"/>
        </w:rPr>
        <w:t xml:space="preserve">What decisions can this entity make with external actors in representation of </w:t>
      </w:r>
      <w:proofErr w:type="spellStart"/>
      <w:r w:rsidRPr="00B55B1D">
        <w:rPr>
          <w:rFonts w:ascii="Times New Roman" w:hAnsi="Times New Roman" w:cs="Helvetica"/>
          <w:lang w:val="en-GB"/>
        </w:rPr>
        <w:t>rightsholders</w:t>
      </w:r>
      <w:proofErr w:type="spellEnd"/>
      <w:r w:rsidRPr="00B55B1D">
        <w:rPr>
          <w:rFonts w:ascii="Times New Roman" w:hAnsi="Times New Roman" w:cs="Helvetica"/>
          <w:lang w:val="en-GB"/>
        </w:rPr>
        <w:t>? What power does it have over community members’ access to resources? And, what responsibilities does it have to its constituents?</w:t>
      </w:r>
    </w:p>
    <w:p w:rsidR="00067A63" w:rsidRPr="00B55B1D" w:rsidRDefault="00067A63" w:rsidP="00067A63">
      <w:pPr>
        <w:spacing w:after="0"/>
        <w:rPr>
          <w:rFonts w:ascii="Times New Roman" w:hAnsi="Times New Roman" w:cs="Helvetica"/>
          <w:lang w:val="en-GB"/>
        </w:rPr>
      </w:pPr>
    </w:p>
    <w:p w:rsidR="00067A63" w:rsidRPr="00B55B1D" w:rsidRDefault="00067A63" w:rsidP="00067A63">
      <w:pPr>
        <w:spacing w:after="0"/>
        <w:rPr>
          <w:rFonts w:ascii="Times New Roman" w:hAnsi="Times New Roman" w:cs="Helvetica"/>
          <w:lang w:val="en-GB"/>
        </w:rPr>
      </w:pPr>
      <w:r w:rsidRPr="00B55B1D">
        <w:rPr>
          <w:rFonts w:ascii="Times New Roman" w:hAnsi="Times New Roman" w:cs="Helvetica"/>
          <w:lang w:val="en-GB"/>
        </w:rPr>
        <w:t xml:space="preserve">Third, the definition of a group of </w:t>
      </w:r>
      <w:proofErr w:type="spellStart"/>
      <w:r w:rsidRPr="00B55B1D">
        <w:rPr>
          <w:rFonts w:ascii="Times New Roman" w:hAnsi="Times New Roman" w:cs="Helvetica"/>
          <w:lang w:val="en-GB"/>
        </w:rPr>
        <w:t>rightsholders</w:t>
      </w:r>
      <w:proofErr w:type="spellEnd"/>
      <w:r w:rsidRPr="00B55B1D">
        <w:rPr>
          <w:rFonts w:ascii="Times New Roman" w:hAnsi="Times New Roman" w:cs="Helvetica"/>
          <w:lang w:val="en-GB"/>
        </w:rPr>
        <w:t xml:space="preserve"> and its representative is intimately tied to the definition of the physical space – the land area and resources – to which rights are being recognized. On the one hand, the specific spatial configuration, as through the demarcation of borders, determines who has rights to the area in question and who does not, with obvious consequences. On the other hand, the definition of territory may have broader implications, playing a central role in geopolitical negotiations (see </w:t>
      </w:r>
      <w:proofErr w:type="spellStart"/>
      <w:r w:rsidRPr="00B55B1D">
        <w:rPr>
          <w:rFonts w:ascii="Times New Roman" w:hAnsi="Times New Roman" w:cs="Helvetica"/>
          <w:lang w:val="en-GB"/>
        </w:rPr>
        <w:t>Sikor</w:t>
      </w:r>
      <w:proofErr w:type="spellEnd"/>
      <w:r w:rsidRPr="00B55B1D">
        <w:rPr>
          <w:rFonts w:ascii="Times New Roman" w:hAnsi="Times New Roman" w:cs="Helvetica"/>
          <w:lang w:val="en-GB"/>
        </w:rPr>
        <w:t xml:space="preserve"> and Lund, 2009), such as between indigenous peoples and the state (Larson</w:t>
      </w:r>
      <w:r w:rsidR="003E5D58" w:rsidRPr="00B55B1D">
        <w:rPr>
          <w:rFonts w:ascii="Times New Roman" w:hAnsi="Times New Roman" w:cs="Helvetica"/>
          <w:lang w:val="en-GB"/>
        </w:rPr>
        <w:t>,</w:t>
      </w:r>
      <w:r w:rsidRPr="00B55B1D">
        <w:rPr>
          <w:rFonts w:ascii="Times New Roman" w:hAnsi="Times New Roman" w:cs="Helvetica"/>
          <w:lang w:val="en-GB"/>
        </w:rPr>
        <w:t xml:space="preserve"> 2010)</w:t>
      </w:r>
      <w:r w:rsidR="00F1524D" w:rsidRPr="00B55B1D">
        <w:rPr>
          <w:rFonts w:ascii="Times New Roman" w:hAnsi="Times New Roman" w:cs="Helvetica"/>
          <w:lang w:val="en-GB"/>
        </w:rPr>
        <w:t>, or between subnational and central governments</w:t>
      </w:r>
      <w:r w:rsidRPr="00B55B1D">
        <w:rPr>
          <w:rFonts w:ascii="Times New Roman" w:hAnsi="Times New Roman" w:cs="Helvetica"/>
          <w:lang w:val="en-GB"/>
        </w:rPr>
        <w:t>.</w:t>
      </w:r>
    </w:p>
    <w:p w:rsidR="00067A63" w:rsidRPr="00B55B1D" w:rsidRDefault="00067A63" w:rsidP="00067A63">
      <w:pPr>
        <w:spacing w:after="0"/>
        <w:rPr>
          <w:rFonts w:ascii="Times New Roman" w:hAnsi="Times New Roman" w:cs="Helvetica"/>
          <w:lang w:val="en-GB"/>
        </w:rPr>
      </w:pPr>
    </w:p>
    <w:p w:rsidR="00067A63" w:rsidRPr="00B55B1D" w:rsidRDefault="00067A63" w:rsidP="00067A63">
      <w:pPr>
        <w:spacing w:after="0"/>
        <w:rPr>
          <w:rFonts w:ascii="Times New Roman" w:hAnsi="Times New Roman" w:cs="Helvetica"/>
          <w:lang w:val="en-GB"/>
        </w:rPr>
      </w:pPr>
      <w:r w:rsidRPr="00B55B1D">
        <w:rPr>
          <w:rFonts w:ascii="Times New Roman" w:hAnsi="Times New Roman" w:cs="Helvetica"/>
          <w:lang w:val="en-GB"/>
        </w:rPr>
        <w:t xml:space="preserve">This article shows that each of the three issues discussed above constitutes a potentially conflictive process taking place at the intersection between civil society and the state: between the ‘community’ demanding the recognition of rights and the state or an entity within the state apparatus. Central to this process is the definition of the third player: the entity that is chosen or that emerges to represent the newly recognized multi-community territories. The chapter explores three different cases in which indigenous territorial rights were recognized, in Nicaragua, Bolivia and the Philippines, and demonstrates how recognition leads to competition, conflict and/or negotiation over the construction of legitimate authority. </w:t>
      </w:r>
    </w:p>
    <w:p w:rsidR="00067A63" w:rsidRPr="00B55B1D" w:rsidRDefault="00067A63" w:rsidP="00067A63">
      <w:pPr>
        <w:spacing w:after="0"/>
        <w:rPr>
          <w:rFonts w:ascii="Times New Roman" w:hAnsi="Times New Roman" w:cs="Helvetica"/>
          <w:lang w:val="en-GB"/>
        </w:rPr>
      </w:pPr>
    </w:p>
    <w:p w:rsidR="00067A63" w:rsidRPr="00B55B1D" w:rsidRDefault="00EC1BE5" w:rsidP="00067A63">
      <w:pPr>
        <w:spacing w:after="0"/>
        <w:rPr>
          <w:rFonts w:ascii="Times New Roman" w:hAnsi="Times New Roman" w:cs="Helvetica"/>
          <w:b/>
          <w:lang w:val="en-GB"/>
        </w:rPr>
      </w:pPr>
      <w:r w:rsidRPr="00B55B1D">
        <w:rPr>
          <w:rFonts w:ascii="Times New Roman" w:hAnsi="Times New Roman" w:cs="Helvetica"/>
          <w:b/>
          <w:lang w:val="en-GB"/>
        </w:rPr>
        <w:t>AUTHORITY RELATIONS AND COMMUNAL TENURE</w:t>
      </w: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The term ‘authority’ is used in several ways, particularly in the realms of policy and practice. In particular, it is used to refer both to the abstract notion of power (e.g. to hold authority) and to the person or inst</w:t>
      </w:r>
      <w:r w:rsidR="007C32E7" w:rsidRPr="00B55B1D">
        <w:rPr>
          <w:rFonts w:ascii="Times New Roman" w:hAnsi="Times New Roman"/>
          <w:lang w:val="en-GB"/>
        </w:rPr>
        <w:t>itution holding that power (Fay</w:t>
      </w:r>
      <w:r w:rsidR="003E5D58" w:rsidRPr="00B55B1D">
        <w:rPr>
          <w:rFonts w:ascii="Times New Roman" w:hAnsi="Times New Roman"/>
          <w:lang w:val="en-GB"/>
        </w:rPr>
        <w:t>,</w:t>
      </w:r>
      <w:r w:rsidRPr="00B55B1D">
        <w:rPr>
          <w:rFonts w:ascii="Times New Roman" w:hAnsi="Times New Roman"/>
          <w:lang w:val="en-GB"/>
        </w:rPr>
        <w:t xml:space="preserve"> 2008) – the first two points raised in the introduction. According to Weber (1968), authority refers to power that is ‘legitimate’. Legitimacy refers to ‘a generalized perception or assumption that the actions of an entity are desirable, proper, or appropriate within some socially constructed system of norms, values, beliefs, and definitions’ (</w:t>
      </w:r>
      <w:proofErr w:type="spellStart"/>
      <w:r w:rsidRPr="00B55B1D">
        <w:rPr>
          <w:rFonts w:ascii="Times New Roman" w:hAnsi="Times New Roman"/>
          <w:lang w:val="en-GB"/>
        </w:rPr>
        <w:t>Suchman</w:t>
      </w:r>
      <w:proofErr w:type="spellEnd"/>
      <w:r w:rsidR="003E5D58" w:rsidRPr="00B55B1D">
        <w:rPr>
          <w:rFonts w:ascii="Times New Roman" w:hAnsi="Times New Roman"/>
          <w:lang w:val="en-GB"/>
        </w:rPr>
        <w:t>,</w:t>
      </w:r>
      <w:r w:rsidRPr="00B55B1D">
        <w:rPr>
          <w:rFonts w:ascii="Times New Roman" w:hAnsi="Times New Roman"/>
          <w:lang w:val="en-GB"/>
        </w:rPr>
        <w:t xml:space="preserve"> 1995: 574). Legitimacy empowers authority (Walker and </w:t>
      </w:r>
      <w:proofErr w:type="spellStart"/>
      <w:r w:rsidRPr="00B55B1D">
        <w:rPr>
          <w:rFonts w:ascii="Times New Roman" w:hAnsi="Times New Roman"/>
          <w:lang w:val="en-GB"/>
        </w:rPr>
        <w:t>Zelditch</w:t>
      </w:r>
      <w:proofErr w:type="spellEnd"/>
      <w:r w:rsidR="003E5D58" w:rsidRPr="00B55B1D">
        <w:rPr>
          <w:rFonts w:ascii="Times New Roman" w:hAnsi="Times New Roman"/>
          <w:lang w:val="en-GB"/>
        </w:rPr>
        <w:t>,</w:t>
      </w:r>
      <w:r w:rsidRPr="00B55B1D">
        <w:rPr>
          <w:rFonts w:ascii="Times New Roman" w:hAnsi="Times New Roman"/>
          <w:lang w:val="en-GB"/>
        </w:rPr>
        <w:t xml:space="preserve"> 1993) and ‘leads people to defer voluntarily to decisions, rules and social arrangements’ (Tyler</w:t>
      </w:r>
      <w:r w:rsidR="003E5D58" w:rsidRPr="00B55B1D">
        <w:rPr>
          <w:rFonts w:ascii="Times New Roman" w:hAnsi="Times New Roman"/>
          <w:lang w:val="en-GB"/>
        </w:rPr>
        <w:t>,</w:t>
      </w:r>
      <w:r w:rsidRPr="00B55B1D">
        <w:rPr>
          <w:rFonts w:ascii="Times New Roman" w:hAnsi="Times New Roman"/>
          <w:lang w:val="en-GB"/>
        </w:rPr>
        <w:t xml:space="preserve"> 2006: 376). Of course, apparently voluntary compliance should not be taken as proof of legitimacy, as some people may use violence or threats of violence to obtain compliance.</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The issue of legitimacy raises additional questions about authority; in particular: who considers this authority – the entity or its power – legitimate, and how is legitimacy produced? If authority requires legitimacy, it cannot be a fixed attribute that is mandated or assumed. Rather, it must be constructed through social interaction and is subject to conflict and negotia</w:t>
      </w:r>
      <w:r w:rsidR="007C32E7" w:rsidRPr="00B55B1D">
        <w:rPr>
          <w:rFonts w:ascii="Times New Roman" w:hAnsi="Times New Roman"/>
          <w:lang w:val="en-GB"/>
        </w:rPr>
        <w:t>tion (</w:t>
      </w:r>
      <w:proofErr w:type="spellStart"/>
      <w:r w:rsidR="003E5D58" w:rsidRPr="00B55B1D">
        <w:rPr>
          <w:rFonts w:ascii="Times New Roman" w:hAnsi="Times New Roman"/>
          <w:lang w:val="en-GB"/>
        </w:rPr>
        <w:t>Jackman</w:t>
      </w:r>
      <w:proofErr w:type="spellEnd"/>
      <w:r w:rsidR="003E5D58" w:rsidRPr="00B55B1D">
        <w:rPr>
          <w:rFonts w:ascii="Times New Roman" w:hAnsi="Times New Roman"/>
          <w:lang w:val="en-GB"/>
        </w:rPr>
        <w:t>, 1993; Lund, 2006;</w:t>
      </w:r>
      <w:r w:rsidR="007C32E7" w:rsidRPr="00B55B1D">
        <w:rPr>
          <w:rFonts w:ascii="Times New Roman" w:hAnsi="Times New Roman"/>
          <w:lang w:val="en-GB"/>
        </w:rPr>
        <w:t xml:space="preserve"> </w:t>
      </w:r>
      <w:proofErr w:type="spellStart"/>
      <w:r w:rsidR="007C32E7" w:rsidRPr="00B55B1D">
        <w:rPr>
          <w:rFonts w:ascii="Times New Roman" w:hAnsi="Times New Roman"/>
          <w:lang w:val="en-GB"/>
        </w:rPr>
        <w:t>Sikor</w:t>
      </w:r>
      <w:proofErr w:type="spellEnd"/>
      <w:r w:rsidR="007C32E7" w:rsidRPr="00B55B1D">
        <w:rPr>
          <w:rFonts w:ascii="Times New Roman" w:hAnsi="Times New Roman"/>
          <w:lang w:val="en-GB"/>
        </w:rPr>
        <w:t xml:space="preserve"> and Lund</w:t>
      </w:r>
      <w:r w:rsidR="003E5D58" w:rsidRPr="00B55B1D">
        <w:rPr>
          <w:rFonts w:ascii="Times New Roman" w:hAnsi="Times New Roman"/>
          <w:lang w:val="en-GB"/>
        </w:rPr>
        <w:t>,</w:t>
      </w:r>
      <w:r w:rsidR="002A7121" w:rsidRPr="00B55B1D">
        <w:rPr>
          <w:rFonts w:ascii="Times New Roman" w:hAnsi="Times New Roman"/>
          <w:lang w:val="en-GB"/>
        </w:rPr>
        <w:t xml:space="preserve"> 2009</w:t>
      </w:r>
      <w:r w:rsidRPr="00B55B1D">
        <w:rPr>
          <w:rFonts w:ascii="Times New Roman" w:hAnsi="Times New Roman"/>
          <w:lang w:val="en-GB"/>
        </w:rPr>
        <w:t>). In this process, which may be instigated by the recognition of rights, actors will use a variety of means to win legitimacy for their preferred entity or representative, particularly in light of competing options.</w:t>
      </w:r>
    </w:p>
    <w:p w:rsidR="00067A63" w:rsidRPr="00B55B1D" w:rsidRDefault="00067A63" w:rsidP="00067A63">
      <w:pPr>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The question of authority appears to be a central factor affecting the outcomes and success of forest tenure reforms, yet this issue has not been well researched.</w:t>
      </w:r>
      <w:r w:rsidRPr="00B55B1D">
        <w:rPr>
          <w:rStyle w:val="FootnoteReference"/>
          <w:rFonts w:ascii="Times New Roman" w:hAnsi="Times New Roman"/>
          <w:lang w:val="en-GB"/>
        </w:rPr>
        <w:footnoteReference w:id="1"/>
      </w:r>
      <w:r w:rsidRPr="00B55B1D">
        <w:rPr>
          <w:rFonts w:ascii="Times New Roman" w:hAnsi="Times New Roman"/>
          <w:lang w:val="en-GB"/>
        </w:rPr>
        <w:t xml:space="preserve"> For communal properties in particular, decisions regarding ‘authority’ are central to shaping how decisions are made, whose opinion or knowledge is taken into account and how access to land and natural resources is determined in practice. When property rights are formalized, issues concerning authority define the extent of decision-making power held at different levels, from the community to the state. They are also important in understanding on-the-ground dynamics of power, which shape access to resources and benefits.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If the term authority implies legitimacy, then it is misleading to use it simply to refer to an entity in power. For example, the term ‘traditional authority’, used often in reference to indigenous or traditional peoples, assumes that the traditional system grants legitimacy; but simply accepting the term, then, leaves little room to question that. </w:t>
      </w:r>
      <w:r w:rsidR="00AE4822" w:rsidRPr="00B55B1D">
        <w:rPr>
          <w:rFonts w:ascii="Times New Roman" w:hAnsi="Times New Roman"/>
          <w:lang w:val="en-GB"/>
        </w:rPr>
        <w:t>In general, we prefer the term ‘authority relations’ to refer to the process o</w:t>
      </w:r>
      <w:r w:rsidR="00AE4822">
        <w:rPr>
          <w:rFonts w:ascii="Times New Roman" w:hAnsi="Times New Roman"/>
          <w:lang w:val="en-GB"/>
        </w:rPr>
        <w:t xml:space="preserve">f constructing legitimate power. </w:t>
      </w:r>
      <w:r w:rsidRPr="00B55B1D">
        <w:rPr>
          <w:rFonts w:ascii="Times New Roman" w:hAnsi="Times New Roman"/>
          <w:lang w:val="en-GB"/>
        </w:rPr>
        <w:t xml:space="preserve">Nevertheless, it is difficult to avoid use of the term authority without creating confusion, particularly in reference to such ‘traditional authorities’ or to </w:t>
      </w:r>
      <w:r w:rsidR="002B20E9">
        <w:rPr>
          <w:rFonts w:ascii="Times New Roman" w:hAnsi="Times New Roman"/>
          <w:lang w:val="en-GB"/>
        </w:rPr>
        <w:t>legal</w:t>
      </w:r>
      <w:r w:rsidRPr="00B55B1D">
        <w:rPr>
          <w:rFonts w:ascii="Times New Roman" w:hAnsi="Times New Roman"/>
          <w:lang w:val="en-GB"/>
        </w:rPr>
        <w:t xml:space="preserve"> mandates, such as the communal and territorial authorities established by legislation in Nicaragua.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central issue of concern in this article is the entity selected to represent the collective – in this case a group of indigenous communities – that receives formal rights under new legal arrangements (see </w:t>
      </w:r>
      <w:proofErr w:type="spellStart"/>
      <w:r w:rsidRPr="00B55B1D">
        <w:rPr>
          <w:rFonts w:ascii="Times New Roman" w:hAnsi="Times New Roman"/>
          <w:lang w:val="en-GB"/>
        </w:rPr>
        <w:t>Ribot</w:t>
      </w:r>
      <w:proofErr w:type="spellEnd"/>
      <w:r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 Both the nature of this entity – a territorial authority in the making – and its domain of powers are fundamental to the distribution of access to land and forest resources and to the benefits they generate. The actor or group chosen to represent the collective by law or policy may or may not be considered a legitimate, representative leader by the population, and it may or may not be the same one that has played this role or made these decisions in the past. This entity may be bestowed with the power to make significant external and/or internal decisions on behalf of the collective regarding resource access. It may be in charge of resources, including financial resources, intended to benefit the collective.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When a community or group receiving new or formal rights already has customary rights to the land, it might seem that the simplest solution is to recognize the entity that is currently in power. There are at least two problems with this, however. First, formally recognizing an institution</w:t>
      </w:r>
      <w:r w:rsidRPr="00B55B1D">
        <w:rPr>
          <w:rStyle w:val="FootnoteReference"/>
          <w:rFonts w:ascii="Times New Roman" w:hAnsi="Times New Roman"/>
          <w:lang w:val="en-GB"/>
        </w:rPr>
        <w:footnoteReference w:id="2"/>
      </w:r>
      <w:r w:rsidRPr="00B55B1D">
        <w:rPr>
          <w:rFonts w:ascii="Times New Roman" w:hAnsi="Times New Roman"/>
          <w:lang w:val="en-GB"/>
        </w:rPr>
        <w:t xml:space="preserve"> changes it: it strengthens it, imbuing it with a new source of legitimacy (</w:t>
      </w:r>
      <w:proofErr w:type="spellStart"/>
      <w:r w:rsidRPr="00B55B1D">
        <w:rPr>
          <w:rFonts w:ascii="Times New Roman" w:hAnsi="Times New Roman"/>
          <w:lang w:val="en-GB"/>
        </w:rPr>
        <w:t>Ribot</w:t>
      </w:r>
      <w:proofErr w:type="spellEnd"/>
      <w:r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 This raises concerns regarding the question of tradition, and the issue of ‘traditional authority’ in particular. The call to respect customary rights, such as traditional land rights, has been central to indigenous struggles in Latin America. But tradition and custom are loaded terms. For some, respecting or recognizing tradition refers to the enfranchisement of peoples whose </w:t>
      </w:r>
      <w:r w:rsidR="007C32E7" w:rsidRPr="00B55B1D">
        <w:rPr>
          <w:rFonts w:ascii="Times New Roman" w:hAnsi="Times New Roman"/>
          <w:lang w:val="en-GB"/>
        </w:rPr>
        <w:t>rights have been denied (Taylor</w:t>
      </w:r>
      <w:r w:rsidRPr="00B55B1D">
        <w:rPr>
          <w:rFonts w:ascii="Times New Roman" w:hAnsi="Times New Roman"/>
          <w:lang w:val="en-GB"/>
        </w:rPr>
        <w:t xml:space="preserve"> 1994); for others it means the opposite, protecting people as a group but not individual rights – a necessary condition for citizenship (</w:t>
      </w:r>
      <w:proofErr w:type="spellStart"/>
      <w:r w:rsidRPr="00B55B1D">
        <w:rPr>
          <w:rFonts w:ascii="Times New Roman" w:hAnsi="Times New Roman"/>
          <w:lang w:val="en-GB"/>
        </w:rPr>
        <w:t>Mamd</w:t>
      </w:r>
      <w:r w:rsidR="007C32E7" w:rsidRPr="00B55B1D">
        <w:rPr>
          <w:rFonts w:ascii="Times New Roman" w:hAnsi="Times New Roman"/>
          <w:lang w:val="en-GB"/>
        </w:rPr>
        <w:t>ani</w:t>
      </w:r>
      <w:proofErr w:type="spellEnd"/>
      <w:r w:rsidR="007C32E7" w:rsidRPr="00B55B1D">
        <w:rPr>
          <w:rFonts w:ascii="Times New Roman" w:hAnsi="Times New Roman"/>
          <w:lang w:val="en-GB"/>
        </w:rPr>
        <w:t xml:space="preserve">, 1996; see also </w:t>
      </w:r>
      <w:proofErr w:type="spellStart"/>
      <w:r w:rsidR="007C32E7" w:rsidRPr="00B55B1D">
        <w:rPr>
          <w:rFonts w:ascii="Times New Roman" w:hAnsi="Times New Roman"/>
          <w:lang w:val="en-GB"/>
        </w:rPr>
        <w:t>Ribot</w:t>
      </w:r>
      <w:proofErr w:type="spellEnd"/>
      <w:r w:rsidR="007C32E7"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proofErr w:type="spellStart"/>
      <w:r w:rsidRPr="00B55B1D">
        <w:rPr>
          <w:rFonts w:ascii="Times New Roman" w:hAnsi="Times New Roman"/>
          <w:lang w:val="en-GB"/>
        </w:rPr>
        <w:t>Ribot</w:t>
      </w:r>
      <w:proofErr w:type="spellEnd"/>
      <w:r w:rsidRPr="00B55B1D">
        <w:rPr>
          <w:rFonts w:ascii="Times New Roman" w:hAnsi="Times New Roman"/>
          <w:lang w:val="en-GB"/>
        </w:rPr>
        <w:t xml:space="preserve"> et al (2008) warn, in particular, against conflating customary rights or practices with customary </w:t>
      </w:r>
      <w:r w:rsidRPr="00B55B1D">
        <w:rPr>
          <w:rFonts w:ascii="Times New Roman" w:hAnsi="Times New Roman"/>
          <w:i/>
          <w:lang w:val="en-GB"/>
        </w:rPr>
        <w:t>authority</w:t>
      </w:r>
      <w:r w:rsidRPr="00B55B1D">
        <w:rPr>
          <w:rFonts w:ascii="Times New Roman" w:hAnsi="Times New Roman"/>
          <w:lang w:val="en-GB"/>
        </w:rPr>
        <w:t>.</w:t>
      </w:r>
      <w:r w:rsidRPr="00B55B1D">
        <w:rPr>
          <w:rFonts w:ascii="Times New Roman" w:hAnsi="Times New Roman"/>
          <w:i/>
          <w:lang w:val="en-GB"/>
        </w:rPr>
        <w:t xml:space="preserve"> </w:t>
      </w:r>
      <w:r w:rsidRPr="00B55B1D">
        <w:rPr>
          <w:rFonts w:ascii="Times New Roman" w:hAnsi="Times New Roman"/>
          <w:lang w:val="en-GB"/>
        </w:rPr>
        <w:t>When the state recognizes, in the tenure reform, a particular entity as the community representative, it is granting that entity external legitimacy. This entity may not have internal legitimacy, or it may have internal legitimacy but not to manage the particular set o</w:t>
      </w:r>
      <w:r w:rsidR="007C32E7" w:rsidRPr="00B55B1D">
        <w:rPr>
          <w:rFonts w:ascii="Times New Roman" w:hAnsi="Times New Roman"/>
          <w:lang w:val="en-GB"/>
        </w:rPr>
        <w:t>f powers now being granted (Fay</w:t>
      </w:r>
      <w:r w:rsidR="003E5D58" w:rsidRPr="00B55B1D">
        <w:rPr>
          <w:rFonts w:ascii="Times New Roman" w:hAnsi="Times New Roman"/>
          <w:lang w:val="en-GB"/>
        </w:rPr>
        <w:t>,</w:t>
      </w:r>
      <w:r w:rsidRPr="00B55B1D">
        <w:rPr>
          <w:rFonts w:ascii="Times New Roman" w:hAnsi="Times New Roman"/>
          <w:lang w:val="en-GB"/>
        </w:rPr>
        <w:t xml:space="preserve"> 2008). An example is the recognition of nondemocratic actors – chiefs and headmen who inherit their posts – in some African nations undergoin</w:t>
      </w:r>
      <w:r w:rsidR="007C32E7" w:rsidRPr="00B55B1D">
        <w:rPr>
          <w:rFonts w:ascii="Times New Roman" w:hAnsi="Times New Roman"/>
          <w:lang w:val="en-GB"/>
        </w:rPr>
        <w:t>g decentralization (</w:t>
      </w:r>
      <w:proofErr w:type="spellStart"/>
      <w:r w:rsidR="003E5D58" w:rsidRPr="00B55B1D">
        <w:rPr>
          <w:rFonts w:ascii="Times New Roman" w:hAnsi="Times New Roman"/>
          <w:lang w:val="en-GB"/>
        </w:rPr>
        <w:t>Ntsebeza</w:t>
      </w:r>
      <w:proofErr w:type="spellEnd"/>
      <w:r w:rsidR="003E5D58" w:rsidRPr="00B55B1D">
        <w:rPr>
          <w:rFonts w:ascii="Times New Roman" w:hAnsi="Times New Roman"/>
          <w:lang w:val="en-GB"/>
        </w:rPr>
        <w:t xml:space="preserve">, 2005; </w:t>
      </w:r>
      <w:proofErr w:type="spellStart"/>
      <w:r w:rsidR="007C32E7" w:rsidRPr="00B55B1D">
        <w:rPr>
          <w:rFonts w:ascii="Times New Roman" w:hAnsi="Times New Roman"/>
          <w:lang w:val="en-GB"/>
        </w:rPr>
        <w:t>Ribot</w:t>
      </w:r>
      <w:proofErr w:type="spellEnd"/>
      <w:r w:rsidR="007C32E7" w:rsidRPr="00B55B1D">
        <w:rPr>
          <w:rFonts w:ascii="Times New Roman" w:hAnsi="Times New Roman"/>
          <w:lang w:val="en-GB"/>
        </w:rPr>
        <w:t xml:space="preserve"> et al.</w:t>
      </w:r>
      <w:r w:rsidR="003E5D58" w:rsidRPr="00B55B1D">
        <w:rPr>
          <w:rFonts w:ascii="Times New Roman" w:hAnsi="Times New Roman"/>
          <w:lang w:val="en-GB"/>
        </w:rPr>
        <w:t>, 2008;</w:t>
      </w:r>
      <w:r w:rsidR="007C32E7" w:rsidRPr="00B55B1D">
        <w:rPr>
          <w:rFonts w:ascii="Times New Roman" w:hAnsi="Times New Roman"/>
          <w:lang w:val="en-GB"/>
        </w:rPr>
        <w:t xml:space="preserve"> see also Fitzgerald</w:t>
      </w:r>
      <w:r w:rsidR="003E5D58" w:rsidRPr="00B55B1D">
        <w:rPr>
          <w:rFonts w:ascii="Times New Roman" w:hAnsi="Times New Roman"/>
          <w:lang w:val="en-GB"/>
        </w:rPr>
        <w:t>,</w:t>
      </w:r>
      <w:r w:rsidRPr="00B55B1D">
        <w:rPr>
          <w:rFonts w:ascii="Times New Roman" w:hAnsi="Times New Roman"/>
          <w:lang w:val="en-GB"/>
        </w:rPr>
        <w:t xml:space="preserve"> 2005). </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Second, the granting of tenure rights may necessarily involve the formation of new entities to represent the beneficiaries, particularly for large territories. Indigenous movements in several Latin American countries, including Bolivia and Nicaragua, have promoted a territory model comprising multiple communities for the implementation of indigenous property rights. These territories are expected to facilitate the demarcation and titling of large areas covering the land</w:t>
      </w:r>
      <w:r w:rsidR="00AE4822">
        <w:rPr>
          <w:rFonts w:ascii="Times New Roman" w:hAnsi="Times New Roman"/>
          <w:lang w:val="en-GB"/>
        </w:rPr>
        <w:t>s</w:t>
      </w:r>
      <w:r w:rsidRPr="00B55B1D">
        <w:rPr>
          <w:rFonts w:ascii="Times New Roman" w:hAnsi="Times New Roman"/>
          <w:lang w:val="en-GB"/>
        </w:rPr>
        <w:t xml:space="preserve"> that indigenous peoples have used historically. The territory model – seen as the most advanced form of granting indigenous tenure rights – should permit sufficient space for resource conservation, use and management, real participation of indigenous peoples in the demarcation process, and the use of resource management models that combine traditional and modern practices for long-t</w:t>
      </w:r>
      <w:r w:rsidR="007C32E7" w:rsidRPr="00B55B1D">
        <w:rPr>
          <w:rFonts w:ascii="Times New Roman" w:hAnsi="Times New Roman"/>
          <w:lang w:val="en-GB"/>
        </w:rPr>
        <w:t xml:space="preserve">erm development (Davis and </w:t>
      </w:r>
      <w:proofErr w:type="spellStart"/>
      <w:r w:rsidR="007C32E7" w:rsidRPr="00B55B1D">
        <w:rPr>
          <w:rFonts w:ascii="Times New Roman" w:hAnsi="Times New Roman"/>
          <w:lang w:val="en-GB"/>
        </w:rPr>
        <w:t>Wali</w:t>
      </w:r>
      <w:proofErr w:type="spellEnd"/>
      <w:r w:rsidR="003E5D58" w:rsidRPr="00B55B1D">
        <w:rPr>
          <w:rFonts w:ascii="Times New Roman" w:hAnsi="Times New Roman"/>
          <w:lang w:val="en-GB"/>
        </w:rPr>
        <w:t>,</w:t>
      </w:r>
      <w:r w:rsidRPr="00B55B1D">
        <w:rPr>
          <w:rFonts w:ascii="Times New Roman" w:hAnsi="Times New Roman"/>
          <w:lang w:val="en-GB"/>
        </w:rPr>
        <w:t xml:space="preserve"> 1994). </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The territory model has encountered serious problems, however, due to the choice of entity to represent the collective. When </w:t>
      </w:r>
      <w:r w:rsidR="00C50B84" w:rsidRPr="00B55B1D">
        <w:rPr>
          <w:rFonts w:ascii="Times New Roman" w:hAnsi="Times New Roman"/>
          <w:lang w:val="en-GB"/>
        </w:rPr>
        <w:t xml:space="preserve">multiple </w:t>
      </w:r>
      <w:r w:rsidRPr="00B55B1D">
        <w:rPr>
          <w:rFonts w:ascii="Times New Roman" w:hAnsi="Times New Roman"/>
          <w:lang w:val="en-GB"/>
        </w:rPr>
        <w:t>communities are grouped together</w:t>
      </w:r>
      <w:r w:rsidR="00AE4822">
        <w:rPr>
          <w:rFonts w:ascii="Times New Roman" w:hAnsi="Times New Roman"/>
          <w:lang w:val="en-GB"/>
        </w:rPr>
        <w:t xml:space="preserve"> in territories</w:t>
      </w:r>
      <w:r w:rsidRPr="00B55B1D">
        <w:rPr>
          <w:rFonts w:ascii="Times New Roman" w:hAnsi="Times New Roman"/>
          <w:lang w:val="en-GB"/>
        </w:rPr>
        <w:t>, there is often an assumption that an overarching governance structure exists or will</w:t>
      </w:r>
      <w:r w:rsidR="00AE4822">
        <w:rPr>
          <w:rFonts w:ascii="Times New Roman" w:hAnsi="Times New Roman"/>
          <w:lang w:val="en-GB"/>
        </w:rPr>
        <w:t xml:space="preserve"> simply emerge. But these territories </w:t>
      </w:r>
      <w:r w:rsidR="002A7121" w:rsidRPr="00B55B1D">
        <w:rPr>
          <w:rFonts w:ascii="Times New Roman" w:hAnsi="Times New Roman"/>
          <w:lang w:val="en-GB"/>
        </w:rPr>
        <w:t>usually require</w:t>
      </w:r>
      <w:r w:rsidRPr="00B55B1D">
        <w:rPr>
          <w:rFonts w:ascii="Times New Roman" w:hAnsi="Times New Roman"/>
          <w:lang w:val="en-GB"/>
        </w:rPr>
        <w:t xml:space="preserve"> the formation of new governance institutions. In his review of experiences </w:t>
      </w:r>
      <w:r w:rsidR="00AE4822">
        <w:rPr>
          <w:rFonts w:ascii="Times New Roman" w:hAnsi="Times New Roman"/>
          <w:lang w:val="en-GB"/>
        </w:rPr>
        <w:t>with</w:t>
      </w:r>
      <w:r w:rsidRPr="00B55B1D">
        <w:rPr>
          <w:rFonts w:ascii="Times New Roman" w:hAnsi="Times New Roman"/>
          <w:lang w:val="en-GB"/>
        </w:rPr>
        <w:t xml:space="preserve"> </w:t>
      </w:r>
      <w:r w:rsidR="00AE4822">
        <w:rPr>
          <w:rFonts w:ascii="Times New Roman" w:hAnsi="Times New Roman"/>
          <w:lang w:val="en-GB"/>
        </w:rPr>
        <w:t>indigenous territory</w:t>
      </w:r>
      <w:r w:rsidRPr="00B55B1D">
        <w:rPr>
          <w:rFonts w:ascii="Times New Roman" w:hAnsi="Times New Roman"/>
          <w:lang w:val="en-GB"/>
        </w:rPr>
        <w:t xml:space="preserve"> </w:t>
      </w:r>
      <w:r w:rsidR="00AE4822" w:rsidRPr="00B55B1D">
        <w:rPr>
          <w:rFonts w:ascii="Times New Roman" w:hAnsi="Times New Roman"/>
          <w:lang w:val="en-GB"/>
        </w:rPr>
        <w:t xml:space="preserve">legalization </w:t>
      </w:r>
      <w:r w:rsidRPr="00B55B1D">
        <w:rPr>
          <w:rFonts w:ascii="Times New Roman" w:hAnsi="Times New Roman"/>
          <w:lang w:val="en-GB"/>
        </w:rPr>
        <w:t>in four South American countries, Stocks (2005: 98) argues that ‘the weakness of the indigenous governing institutions’, and particularly the lack of democratic representation at the territorial scale, ‘is an extremely vulnerable aspect of the indigenous land movement’. One of the problems is that this is the scale at which governance institutions do not currently exist</w:t>
      </w:r>
      <w:r w:rsidR="002A7121" w:rsidRPr="00B55B1D">
        <w:rPr>
          <w:rFonts w:ascii="Times New Roman" w:hAnsi="Times New Roman"/>
          <w:lang w:val="en-GB"/>
        </w:rPr>
        <w:t xml:space="preserve">. </w:t>
      </w:r>
      <w:r w:rsidRPr="00B55B1D">
        <w:rPr>
          <w:rFonts w:ascii="Times New Roman" w:hAnsi="Times New Roman"/>
          <w:lang w:val="en-GB"/>
        </w:rPr>
        <w:t>Hence defining both the entity and the domain of powers involves forging new ground. The Nicaragua, Bolivia and Philippine cases here all represent indigenous territories comprising multiple communities.</w:t>
      </w:r>
    </w:p>
    <w:p w:rsidR="002D654B" w:rsidRPr="00B55B1D" w:rsidRDefault="002D654B" w:rsidP="00067A63">
      <w:pPr>
        <w:widowControl w:val="0"/>
        <w:spacing w:after="0"/>
        <w:rPr>
          <w:rFonts w:ascii="Times New Roman" w:hAnsi="Times New Roman"/>
          <w:lang w:val="en-GB"/>
        </w:rPr>
      </w:pPr>
    </w:p>
    <w:p w:rsidR="00067A63" w:rsidRPr="00B55B1D" w:rsidRDefault="009A591E" w:rsidP="00067A63">
      <w:pPr>
        <w:widowControl w:val="0"/>
        <w:spacing w:after="0"/>
        <w:rPr>
          <w:rFonts w:ascii="Times New Roman" w:hAnsi="Times New Roman"/>
          <w:lang w:val="en-GB"/>
        </w:rPr>
      </w:pPr>
      <w:r w:rsidRPr="00B55B1D">
        <w:rPr>
          <w:rFonts w:ascii="Times New Roman" w:hAnsi="Times New Roman"/>
          <w:lang w:val="en-GB"/>
        </w:rPr>
        <w:t>The point is not</w:t>
      </w:r>
      <w:r w:rsidR="002D654B" w:rsidRPr="00B55B1D">
        <w:rPr>
          <w:rFonts w:ascii="Times New Roman" w:hAnsi="Times New Roman"/>
          <w:lang w:val="en-GB"/>
        </w:rPr>
        <w:t>, however, that communities are incapable of defining or electing a new</w:t>
      </w:r>
      <w:r w:rsidR="00561E59" w:rsidRPr="00B55B1D">
        <w:rPr>
          <w:rFonts w:ascii="Times New Roman" w:hAnsi="Times New Roman"/>
          <w:lang w:val="en-GB"/>
        </w:rPr>
        <w:t>, representative</w:t>
      </w:r>
      <w:r w:rsidR="002D654B" w:rsidRPr="00B55B1D">
        <w:rPr>
          <w:rFonts w:ascii="Times New Roman" w:hAnsi="Times New Roman"/>
          <w:lang w:val="en-GB"/>
        </w:rPr>
        <w:t xml:space="preserve"> entity for territorial governance</w:t>
      </w:r>
      <w:r w:rsidRPr="00B55B1D">
        <w:rPr>
          <w:rFonts w:ascii="Times New Roman" w:hAnsi="Times New Roman"/>
          <w:lang w:val="en-GB"/>
        </w:rPr>
        <w:t xml:space="preserve">, or that </w:t>
      </w:r>
      <w:r w:rsidR="00561E59" w:rsidRPr="00B55B1D">
        <w:rPr>
          <w:rFonts w:ascii="Times New Roman" w:hAnsi="Times New Roman"/>
          <w:lang w:val="en-GB"/>
        </w:rPr>
        <w:t xml:space="preserve">it is possible or desirable for </w:t>
      </w:r>
      <w:r w:rsidRPr="00B55B1D">
        <w:rPr>
          <w:rFonts w:ascii="Times New Roman" w:hAnsi="Times New Roman"/>
          <w:lang w:val="en-GB"/>
        </w:rPr>
        <w:t>another actor</w:t>
      </w:r>
      <w:r w:rsidR="00AE256D" w:rsidRPr="00B55B1D">
        <w:rPr>
          <w:rFonts w:ascii="Times New Roman" w:hAnsi="Times New Roman"/>
          <w:lang w:val="en-GB"/>
        </w:rPr>
        <w:t xml:space="preserve"> – </w:t>
      </w:r>
      <w:proofErr w:type="spellStart"/>
      <w:r w:rsidR="00AE256D" w:rsidRPr="00B55B1D">
        <w:rPr>
          <w:rFonts w:ascii="Times New Roman" w:hAnsi="Times New Roman"/>
          <w:lang w:val="en-GB"/>
        </w:rPr>
        <w:t>eg</w:t>
      </w:r>
      <w:proofErr w:type="spellEnd"/>
      <w:r w:rsidR="00AE256D" w:rsidRPr="00B55B1D">
        <w:rPr>
          <w:rFonts w:ascii="Times New Roman" w:hAnsi="Times New Roman"/>
          <w:lang w:val="en-GB"/>
        </w:rPr>
        <w:t>.</w:t>
      </w:r>
      <w:r w:rsidRPr="00B55B1D">
        <w:rPr>
          <w:rFonts w:ascii="Times New Roman" w:hAnsi="Times New Roman"/>
          <w:lang w:val="en-GB"/>
        </w:rPr>
        <w:t xml:space="preserve"> </w:t>
      </w:r>
      <w:proofErr w:type="gramStart"/>
      <w:r w:rsidRPr="00B55B1D">
        <w:rPr>
          <w:rFonts w:ascii="Times New Roman" w:hAnsi="Times New Roman"/>
          <w:lang w:val="en-GB"/>
        </w:rPr>
        <w:t>the</w:t>
      </w:r>
      <w:proofErr w:type="gramEnd"/>
      <w:r w:rsidRPr="00B55B1D">
        <w:rPr>
          <w:rFonts w:ascii="Times New Roman" w:hAnsi="Times New Roman"/>
          <w:lang w:val="en-GB"/>
        </w:rPr>
        <w:t xml:space="preserve"> </w:t>
      </w:r>
      <w:r w:rsidR="00AE256D" w:rsidRPr="00B55B1D">
        <w:rPr>
          <w:rFonts w:ascii="Times New Roman" w:hAnsi="Times New Roman"/>
          <w:lang w:val="en-GB"/>
        </w:rPr>
        <w:t xml:space="preserve">state – </w:t>
      </w:r>
      <w:r w:rsidR="00561E59" w:rsidRPr="00B55B1D">
        <w:rPr>
          <w:rFonts w:ascii="Times New Roman" w:hAnsi="Times New Roman"/>
          <w:lang w:val="en-GB"/>
        </w:rPr>
        <w:t>to ‘</w:t>
      </w:r>
      <w:r w:rsidRPr="00B55B1D">
        <w:rPr>
          <w:rFonts w:ascii="Times New Roman" w:hAnsi="Times New Roman"/>
          <w:lang w:val="en-GB"/>
        </w:rPr>
        <w:t>create</w:t>
      </w:r>
      <w:r w:rsidR="00561E59" w:rsidRPr="00B55B1D">
        <w:rPr>
          <w:rFonts w:ascii="Times New Roman" w:hAnsi="Times New Roman"/>
          <w:lang w:val="en-GB"/>
        </w:rPr>
        <w:t>’</w:t>
      </w:r>
      <w:r w:rsidRPr="00B55B1D">
        <w:rPr>
          <w:rFonts w:ascii="Times New Roman" w:hAnsi="Times New Roman"/>
          <w:lang w:val="en-GB"/>
        </w:rPr>
        <w:t xml:space="preserve"> such an entity</w:t>
      </w:r>
      <w:r w:rsidR="002A7121" w:rsidRPr="00B55B1D">
        <w:rPr>
          <w:rFonts w:ascii="Times New Roman" w:hAnsi="Times New Roman"/>
          <w:lang w:val="en-GB"/>
        </w:rPr>
        <w:t xml:space="preserve"> (</w:t>
      </w:r>
      <w:r w:rsidR="00AE4822">
        <w:rPr>
          <w:rFonts w:ascii="Times New Roman" w:hAnsi="Times New Roman"/>
          <w:lang w:val="en-GB"/>
        </w:rPr>
        <w:t>though</w:t>
      </w:r>
      <w:r w:rsidR="002A7121" w:rsidRPr="00B55B1D">
        <w:rPr>
          <w:rFonts w:ascii="Times New Roman" w:hAnsi="Times New Roman"/>
          <w:lang w:val="en-GB"/>
        </w:rPr>
        <w:t xml:space="preserve"> </w:t>
      </w:r>
      <w:r w:rsidR="00AE4822">
        <w:rPr>
          <w:rFonts w:ascii="Times New Roman" w:hAnsi="Times New Roman"/>
          <w:lang w:val="en-GB"/>
        </w:rPr>
        <w:t xml:space="preserve">this </w:t>
      </w:r>
      <w:r w:rsidR="002A7121" w:rsidRPr="00B55B1D">
        <w:rPr>
          <w:rFonts w:ascii="Times New Roman" w:hAnsi="Times New Roman"/>
          <w:lang w:val="en-GB"/>
        </w:rPr>
        <w:t xml:space="preserve">has </w:t>
      </w:r>
      <w:r w:rsidR="00AE4822">
        <w:rPr>
          <w:rFonts w:ascii="Times New Roman" w:hAnsi="Times New Roman"/>
          <w:lang w:val="en-GB"/>
        </w:rPr>
        <w:t>sometimes had positive results,</w:t>
      </w:r>
      <w:r w:rsidR="002A7121" w:rsidRPr="00B55B1D">
        <w:rPr>
          <w:rFonts w:ascii="Times New Roman" w:hAnsi="Times New Roman"/>
          <w:lang w:val="en-GB"/>
        </w:rPr>
        <w:t xml:space="preserve"> Bray et al., 2006)</w:t>
      </w:r>
      <w:r w:rsidRPr="00B55B1D">
        <w:rPr>
          <w:rFonts w:ascii="Times New Roman" w:hAnsi="Times New Roman"/>
          <w:lang w:val="en-GB"/>
        </w:rPr>
        <w:t>. Rather, t</w:t>
      </w:r>
      <w:r w:rsidR="00067A63" w:rsidRPr="00B55B1D">
        <w:rPr>
          <w:rFonts w:ascii="Times New Roman" w:hAnsi="Times New Roman"/>
          <w:lang w:val="en-GB"/>
        </w:rPr>
        <w:t xml:space="preserve">he issues mentioned so far present a somewhat simplified view of these political processes. It will not always – or perhaps ever – be a simple matter of ‘choosing’ or ‘forming’ a new authority or </w:t>
      </w:r>
      <w:r w:rsidR="002A7121" w:rsidRPr="00B55B1D">
        <w:rPr>
          <w:rFonts w:ascii="Times New Roman" w:hAnsi="Times New Roman"/>
          <w:lang w:val="en-GB"/>
        </w:rPr>
        <w:t xml:space="preserve">even </w:t>
      </w:r>
      <w:r w:rsidR="00067A63" w:rsidRPr="00B55B1D">
        <w:rPr>
          <w:rFonts w:ascii="Times New Roman" w:hAnsi="Times New Roman"/>
          <w:lang w:val="en-GB"/>
        </w:rPr>
        <w:t xml:space="preserve">‘defining’ a domain of powers. </w:t>
      </w:r>
      <w:r w:rsidR="00F5014C" w:rsidRPr="00B55B1D">
        <w:rPr>
          <w:rFonts w:ascii="Times New Roman" w:hAnsi="Times New Roman"/>
          <w:lang w:val="en-GB"/>
        </w:rPr>
        <w:t>The outcome of these processes has</w:t>
      </w:r>
      <w:r w:rsidR="00067A63" w:rsidRPr="00B55B1D">
        <w:rPr>
          <w:rFonts w:ascii="Times New Roman" w:hAnsi="Times New Roman"/>
          <w:lang w:val="en-GB"/>
        </w:rPr>
        <w:t xml:space="preserve"> material as well as symbolic </w:t>
      </w:r>
      <w:proofErr w:type="gramStart"/>
      <w:r w:rsidR="00067A63" w:rsidRPr="00B55B1D">
        <w:rPr>
          <w:rFonts w:ascii="Times New Roman" w:hAnsi="Times New Roman"/>
          <w:lang w:val="en-GB"/>
        </w:rPr>
        <w:t>importanc</w:t>
      </w:r>
      <w:r w:rsidR="00F5014C" w:rsidRPr="00B55B1D">
        <w:rPr>
          <w:rFonts w:ascii="Times New Roman" w:hAnsi="Times New Roman"/>
          <w:lang w:val="en-GB"/>
        </w:rPr>
        <w:t>e,</w:t>
      </w:r>
      <w:proofErr w:type="gramEnd"/>
      <w:r w:rsidR="00F5014C" w:rsidRPr="00B55B1D">
        <w:rPr>
          <w:rFonts w:ascii="Times New Roman" w:hAnsi="Times New Roman"/>
          <w:lang w:val="en-GB"/>
        </w:rPr>
        <w:t xml:space="preserve"> hence </w:t>
      </w:r>
      <w:r w:rsidR="00067A63" w:rsidRPr="00B55B1D">
        <w:rPr>
          <w:rFonts w:ascii="Times New Roman" w:hAnsi="Times New Roman"/>
          <w:lang w:val="en-GB"/>
        </w:rPr>
        <w:t>it is not particularly surprising that they would be subject to conflict</w:t>
      </w:r>
      <w:r w:rsidR="00AE4822">
        <w:rPr>
          <w:rFonts w:ascii="Times New Roman" w:hAnsi="Times New Roman"/>
          <w:lang w:val="en-GB"/>
        </w:rPr>
        <w:t xml:space="preserve"> and negotiation</w:t>
      </w:r>
      <w:r w:rsidR="00067A63" w:rsidRPr="00B55B1D">
        <w:rPr>
          <w:rFonts w:ascii="Times New Roman" w:hAnsi="Times New Roman"/>
          <w:lang w:val="en-GB"/>
        </w:rPr>
        <w:t xml:space="preserve">. </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The demands for recognition themselves have usually emerged from conflict, including the righting of historical wrongs, as in many cases of indigenous peoples around the world. For example, the first stage in indigenous rights recognition in Nicaragua emerged in a new Constitution after almost a decade of war; in the Philippines case, the demand for land rights initially arose out of protests over a government plan to build a vacation resort </w:t>
      </w:r>
      <w:r w:rsidR="00847261">
        <w:rPr>
          <w:rFonts w:ascii="Times New Roman" w:hAnsi="Times New Roman"/>
          <w:lang w:val="en-GB"/>
        </w:rPr>
        <w:t xml:space="preserve">inside customary territory; </w:t>
      </w:r>
      <w:r w:rsidR="00FA798D" w:rsidRPr="00B55B1D">
        <w:rPr>
          <w:rFonts w:ascii="Times New Roman" w:hAnsi="Times New Roman"/>
          <w:lang w:val="en-GB"/>
        </w:rPr>
        <w:t>in Bolivia, new property rights were won through a prolonged process of protest and mobilization by the country’s lowland indigenous population.</w:t>
      </w:r>
      <w:r w:rsidRPr="00B55B1D">
        <w:rPr>
          <w:rFonts w:ascii="Times New Roman" w:hAnsi="Times New Roman"/>
          <w:lang w:val="en-GB"/>
        </w:rPr>
        <w:t xml:space="preserve"> In addition, in cases involving land titling, demarcation is subject to conflict and negotiation over the definition of borders as well as over the fate of ‘outsiders’ holding land inside the territory. </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But the relationship between authority and property goes beyond this. </w:t>
      </w:r>
      <w:proofErr w:type="spellStart"/>
      <w:r w:rsidRPr="00B55B1D">
        <w:rPr>
          <w:rFonts w:ascii="Times New Roman" w:hAnsi="Times New Roman"/>
          <w:lang w:val="en-GB"/>
        </w:rPr>
        <w:t>Sikor</w:t>
      </w:r>
      <w:proofErr w:type="spellEnd"/>
      <w:r w:rsidRPr="00B55B1D">
        <w:rPr>
          <w:rFonts w:ascii="Times New Roman" w:hAnsi="Times New Roman"/>
          <w:lang w:val="en-GB"/>
        </w:rPr>
        <w:t xml:space="preserve"> and Lund (2009: 2) argue that ‘struggles over property are as much about the scope and constitution of authority as about access to resources.’ In fact, property and authority depend on each other and are mutually constitutive. These authors argue that land claimants appeal to authorities to legitimize their land claim, while the act of authorizing the land claim legitimizes that authority’s power. </w:t>
      </w:r>
      <w:r w:rsidR="00AE256D" w:rsidRPr="00B55B1D">
        <w:rPr>
          <w:rFonts w:ascii="Times New Roman" w:hAnsi="Times New Roman"/>
          <w:lang w:val="en-GB"/>
        </w:rPr>
        <w:t xml:space="preserve">In both the Nicaraguan and Bolivian cases, the process of defining the entity representing the new territories has to be understood in light of broader, historical geopolitical struggles related to the positioning of regional actors, both in and outside the state, </w:t>
      </w:r>
      <w:proofErr w:type="spellStart"/>
      <w:r w:rsidR="00AE256D" w:rsidRPr="00B55B1D">
        <w:rPr>
          <w:rFonts w:ascii="Times New Roman" w:hAnsi="Times New Roman"/>
          <w:lang w:val="en-GB"/>
        </w:rPr>
        <w:t>vis</w:t>
      </w:r>
      <w:proofErr w:type="spellEnd"/>
      <w:r w:rsidR="00AE256D" w:rsidRPr="00B55B1D">
        <w:rPr>
          <w:rFonts w:ascii="Times New Roman" w:hAnsi="Times New Roman"/>
          <w:lang w:val="en-GB"/>
        </w:rPr>
        <w:t xml:space="preserve"> a </w:t>
      </w:r>
      <w:proofErr w:type="spellStart"/>
      <w:r w:rsidR="00AE256D" w:rsidRPr="00B55B1D">
        <w:rPr>
          <w:rFonts w:ascii="Times New Roman" w:hAnsi="Times New Roman"/>
          <w:lang w:val="en-GB"/>
        </w:rPr>
        <w:t>vis</w:t>
      </w:r>
      <w:proofErr w:type="spellEnd"/>
      <w:r w:rsidR="00AE256D" w:rsidRPr="00B55B1D">
        <w:rPr>
          <w:rFonts w:ascii="Times New Roman" w:hAnsi="Times New Roman"/>
          <w:lang w:val="en-GB"/>
        </w:rPr>
        <w:t xml:space="preserve"> the central government; they are also conflicts over </w:t>
      </w:r>
      <w:proofErr w:type="spellStart"/>
      <w:r w:rsidR="00AE256D" w:rsidRPr="00B55B1D">
        <w:rPr>
          <w:rFonts w:ascii="Times New Roman" w:hAnsi="Times New Roman"/>
          <w:lang w:val="en-GB"/>
        </w:rPr>
        <w:t>territorialization</w:t>
      </w:r>
      <w:proofErr w:type="spellEnd"/>
      <w:r w:rsidR="00AE256D" w:rsidRPr="00B55B1D">
        <w:rPr>
          <w:rFonts w:ascii="Times New Roman" w:hAnsi="Times New Roman"/>
          <w:lang w:val="en-GB"/>
        </w:rPr>
        <w:t xml:space="preserve"> – the ordering of space and people within geographic boundaries (</w:t>
      </w:r>
      <w:proofErr w:type="spellStart"/>
      <w:r w:rsidR="00AE256D" w:rsidRPr="00B55B1D">
        <w:rPr>
          <w:rFonts w:ascii="Times New Roman" w:hAnsi="Times New Roman"/>
          <w:lang w:val="en-GB"/>
        </w:rPr>
        <w:t>Vandergeest</w:t>
      </w:r>
      <w:proofErr w:type="spellEnd"/>
      <w:r w:rsidR="00AE256D" w:rsidRPr="00B55B1D">
        <w:rPr>
          <w:rFonts w:ascii="Times New Roman" w:hAnsi="Times New Roman"/>
          <w:lang w:val="en-GB"/>
        </w:rPr>
        <w:t xml:space="preserve"> and </w:t>
      </w:r>
      <w:proofErr w:type="spellStart"/>
      <w:r w:rsidR="00AE256D" w:rsidRPr="00B55B1D">
        <w:rPr>
          <w:rFonts w:ascii="Times New Roman" w:hAnsi="Times New Roman"/>
          <w:lang w:val="en-GB"/>
        </w:rPr>
        <w:t>Peluso</w:t>
      </w:r>
      <w:proofErr w:type="spellEnd"/>
      <w:r w:rsidR="00AE256D" w:rsidRPr="00B55B1D">
        <w:rPr>
          <w:rFonts w:ascii="Times New Roman" w:hAnsi="Times New Roman"/>
          <w:lang w:val="en-GB"/>
        </w:rPr>
        <w:t xml:space="preserve"> 1995) – and the control of resources and people. </w:t>
      </w:r>
      <w:r w:rsidRPr="00B55B1D">
        <w:rPr>
          <w:rFonts w:ascii="Times New Roman" w:hAnsi="Times New Roman"/>
          <w:lang w:val="en-GB"/>
        </w:rPr>
        <w:t>The control of territory is a source of power; the control of power is a source of territory.</w:t>
      </w:r>
    </w:p>
    <w:p w:rsidR="00067A63" w:rsidRPr="00B55B1D" w:rsidRDefault="00067A63" w:rsidP="00067A63">
      <w:pPr>
        <w:widowControl w:val="0"/>
        <w:spacing w:after="0"/>
        <w:ind w:firstLine="720"/>
        <w:rPr>
          <w:rFonts w:ascii="Times New Roman" w:hAnsi="Times New Roman"/>
          <w:lang w:val="en-GB"/>
        </w:rPr>
      </w:pPr>
    </w:p>
    <w:p w:rsidR="00067A63" w:rsidRPr="00B55B1D" w:rsidRDefault="00EC1BE5" w:rsidP="00067A63">
      <w:pPr>
        <w:spacing w:after="0"/>
        <w:rPr>
          <w:rFonts w:ascii="Times New Roman" w:hAnsi="Times New Roman"/>
          <w:b/>
          <w:lang w:val="en-GB"/>
        </w:rPr>
      </w:pPr>
      <w:r w:rsidRPr="00B55B1D">
        <w:rPr>
          <w:rFonts w:ascii="Times New Roman" w:hAnsi="Times New Roman"/>
          <w:b/>
          <w:lang w:val="en-GB"/>
        </w:rPr>
        <w:t>THE CASE STUDIES</w:t>
      </w: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case studies presented here were all undertaken as part of a research project led by the </w:t>
      </w:r>
      <w:proofErr w:type="spellStart"/>
      <w:r w:rsidRPr="00B55B1D">
        <w:rPr>
          <w:rFonts w:ascii="Times New Roman" w:hAnsi="Times New Roman"/>
          <w:lang w:val="en-GB"/>
        </w:rPr>
        <w:t>Center</w:t>
      </w:r>
      <w:proofErr w:type="spellEnd"/>
      <w:r w:rsidRPr="00B55B1D">
        <w:rPr>
          <w:rFonts w:ascii="Times New Roman" w:hAnsi="Times New Roman"/>
          <w:lang w:val="en-GB"/>
        </w:rPr>
        <w:t xml:space="preserve"> for International Forestry Research, under the auspices of the Right</w:t>
      </w:r>
      <w:r w:rsidR="00AB0200">
        <w:rPr>
          <w:rFonts w:ascii="Times New Roman" w:hAnsi="Times New Roman"/>
          <w:lang w:val="en-GB"/>
        </w:rPr>
        <w:t>s</w:t>
      </w:r>
      <w:r w:rsidRPr="00B55B1D">
        <w:rPr>
          <w:rFonts w:ascii="Times New Roman" w:hAnsi="Times New Roman"/>
          <w:lang w:val="en-GB"/>
        </w:rPr>
        <w:t xml:space="preserve"> and Resources Initiative</w:t>
      </w:r>
      <w:r w:rsidR="00847261">
        <w:rPr>
          <w:rFonts w:ascii="Times New Roman" w:hAnsi="Times New Roman"/>
          <w:lang w:val="en-GB"/>
        </w:rPr>
        <w:t>,</w:t>
      </w:r>
      <w:r w:rsidRPr="00B55B1D">
        <w:rPr>
          <w:rFonts w:ascii="Times New Roman" w:hAnsi="Times New Roman"/>
          <w:lang w:val="en-GB"/>
        </w:rPr>
        <w:t xml:space="preserve"> in 2006-2008. The research was aimed at understanding pr</w:t>
      </w:r>
      <w:r w:rsidR="00AB0200">
        <w:rPr>
          <w:rFonts w:ascii="Times New Roman" w:hAnsi="Times New Roman"/>
          <w:lang w:val="en-GB"/>
        </w:rPr>
        <w:t>ocesses of forest tenure reform</w:t>
      </w:r>
      <w:r w:rsidRPr="00B55B1D">
        <w:rPr>
          <w:rFonts w:ascii="Times New Roman" w:hAnsi="Times New Roman"/>
          <w:lang w:val="en-GB"/>
        </w:rPr>
        <w:t xml:space="preserve"> in several developing countries (for a full explanation of m</w:t>
      </w:r>
      <w:r w:rsidR="003E5D58" w:rsidRPr="00B55B1D">
        <w:rPr>
          <w:rFonts w:ascii="Times New Roman" w:hAnsi="Times New Roman"/>
          <w:lang w:val="en-GB"/>
        </w:rPr>
        <w:t xml:space="preserve">ethods, see Larson et al. 2010a, </w:t>
      </w:r>
      <w:r w:rsidRPr="00B55B1D">
        <w:rPr>
          <w:rFonts w:ascii="Times New Roman" w:hAnsi="Times New Roman"/>
          <w:lang w:val="en-GB"/>
        </w:rPr>
        <w:t>2010b). The cases did not have authority relations as a subject of study; rather this was an issue of interest that emerged later in the analysis and comparison of the findings.</w:t>
      </w: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This section presents three cases of forest tenure reform. Nicaragua and Bolivia refer to large indigenous territories being demarcated and titled in the wake of important changes in national legislation to recognize indigenous land rights. The Nicaragua case is based on a study of the North Atlantic Autonomous Region (RAAN), which falls under the jurisdiction of an autonomous regional council, and in-depth research on two particular territories. The study highlights conflicts between indigenous leaders and communities over the configuration of territories and territory representatives. The Bolivian case discusses the demarcation and titling of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indigenous territory in the lowland municipalities of Santa Cruz. In that case, the indigenous organization that led the </w:t>
      </w:r>
      <w:r w:rsidR="006C3C40" w:rsidRPr="00B55B1D">
        <w:rPr>
          <w:rFonts w:ascii="Times New Roman" w:hAnsi="Times New Roman"/>
          <w:lang w:val="en-GB"/>
        </w:rPr>
        <w:t xml:space="preserve">struggle </w:t>
      </w:r>
      <w:r w:rsidRPr="00B55B1D">
        <w:rPr>
          <w:rFonts w:ascii="Times New Roman" w:hAnsi="Times New Roman"/>
          <w:lang w:val="en-GB"/>
        </w:rPr>
        <w:t xml:space="preserve">for land rights </w:t>
      </w:r>
      <w:r w:rsidR="00847261">
        <w:rPr>
          <w:rFonts w:ascii="Times New Roman" w:hAnsi="Times New Roman"/>
          <w:lang w:val="en-GB"/>
        </w:rPr>
        <w:t>held the title</w:t>
      </w:r>
      <w:r w:rsidRPr="00B55B1D">
        <w:rPr>
          <w:rFonts w:ascii="Times New Roman" w:hAnsi="Times New Roman"/>
          <w:lang w:val="en-GB"/>
        </w:rPr>
        <w:t xml:space="preserve"> as representative of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people but with ambiguous authority in a context of contested rights</w:t>
      </w:r>
      <w:r w:rsidR="00847261">
        <w:rPr>
          <w:rFonts w:ascii="Times New Roman" w:hAnsi="Times New Roman"/>
          <w:lang w:val="en-GB"/>
        </w:rPr>
        <w:t>,</w:t>
      </w:r>
      <w:r w:rsidRPr="00B55B1D">
        <w:rPr>
          <w:rFonts w:ascii="Times New Roman" w:hAnsi="Times New Roman"/>
          <w:lang w:val="en-GB"/>
        </w:rPr>
        <w:t xml:space="preserve"> leading to a split in the organization and the breakdown of local governance.</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third case refers to another indigenous territory,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ancestral domain, in the Philippines. Unlike the Nicaragua and Bolivia cases,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land claim was not originally part of a national process to recognize indigenous lands, though this occurred later. The official ‘territorial authority’ is the </w:t>
      </w:r>
      <w:proofErr w:type="spellStart"/>
      <w:r w:rsidRPr="00B55B1D">
        <w:rPr>
          <w:rFonts w:ascii="Times New Roman" w:hAnsi="Times New Roman"/>
          <w:lang w:val="en-GB"/>
        </w:rPr>
        <w:t>Kalahan</w:t>
      </w:r>
      <w:proofErr w:type="spellEnd"/>
      <w:r w:rsidRPr="00B55B1D">
        <w:rPr>
          <w:rFonts w:ascii="Times New Roman" w:hAnsi="Times New Roman"/>
          <w:lang w:val="en-GB"/>
        </w:rPr>
        <w:t xml:space="preserve"> Educational Foundation (KEF), also established, as in </w:t>
      </w:r>
      <w:proofErr w:type="spellStart"/>
      <w:r w:rsidRPr="00B55B1D">
        <w:rPr>
          <w:rFonts w:ascii="Times New Roman" w:hAnsi="Times New Roman"/>
          <w:lang w:val="en-GB"/>
        </w:rPr>
        <w:t>Guarayos</w:t>
      </w:r>
      <w:proofErr w:type="spellEnd"/>
      <w:r w:rsidRPr="00B55B1D">
        <w:rPr>
          <w:rFonts w:ascii="Times New Roman" w:hAnsi="Times New Roman"/>
          <w:lang w:val="en-GB"/>
        </w:rPr>
        <w:t>, to fight for the land claim. The KEF has managed to avoid the kinds of conflicts seen in the other two cases and maintains a high level of legitimacy as a representative local authority.</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r w:rsidRPr="00B55B1D">
        <w:rPr>
          <w:rFonts w:ascii="Times New Roman" w:hAnsi="Times New Roman"/>
          <w:b/>
          <w:lang w:val="en-GB"/>
        </w:rPr>
        <w:t>Indigenous territories in the RAAN, Nicaragua</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Indigenous people in Nicaragua won formal rights to their communal lands in the 1987 Constitution, and in the same year, the Autonomy Law was passed, creating the North and South Autonomous Regions. The first regional governing councils were elected in 1990. These regions represent about 45</w:t>
      </w:r>
      <w:r w:rsidR="003E5D58" w:rsidRPr="00B55B1D">
        <w:rPr>
          <w:rFonts w:ascii="Times New Roman" w:hAnsi="Times New Roman"/>
          <w:lang w:val="en-GB"/>
        </w:rPr>
        <w:t xml:space="preserve"> per cent</w:t>
      </w:r>
      <w:r w:rsidRPr="00B55B1D">
        <w:rPr>
          <w:rFonts w:ascii="Times New Roman" w:hAnsi="Times New Roman"/>
          <w:lang w:val="en-GB"/>
        </w:rPr>
        <w:t xml:space="preserve"> of the national territory but only 12</w:t>
      </w:r>
      <w:r w:rsidR="003E5D58" w:rsidRPr="00B55B1D">
        <w:rPr>
          <w:rFonts w:ascii="Times New Roman" w:hAnsi="Times New Roman"/>
          <w:lang w:val="en-GB"/>
        </w:rPr>
        <w:t xml:space="preserve"> per cent</w:t>
      </w:r>
      <w:r w:rsidRPr="00B55B1D">
        <w:rPr>
          <w:rFonts w:ascii="Times New Roman" w:hAnsi="Times New Roman"/>
          <w:lang w:val="en-GB"/>
        </w:rPr>
        <w:t xml:space="preserve"> of the population (INEC</w:t>
      </w:r>
      <w:r w:rsidR="003E5D58" w:rsidRPr="00B55B1D">
        <w:rPr>
          <w:rFonts w:ascii="Times New Roman" w:hAnsi="Times New Roman"/>
          <w:lang w:val="en-GB"/>
        </w:rPr>
        <w:t xml:space="preserve">, </w:t>
      </w:r>
      <w:r w:rsidRPr="00B55B1D">
        <w:rPr>
          <w:rFonts w:ascii="Times New Roman" w:hAnsi="Times New Roman"/>
          <w:lang w:val="en-GB"/>
        </w:rPr>
        <w:t>2005). Nevertheless, the autonomous regions are h</w:t>
      </w:r>
      <w:r w:rsidR="00FA798D" w:rsidRPr="00B55B1D">
        <w:rPr>
          <w:rFonts w:ascii="Times New Roman" w:hAnsi="Times New Roman"/>
          <w:lang w:val="en-GB"/>
        </w:rPr>
        <w:t>ome to the vast majority of the</w:t>
      </w:r>
      <w:r w:rsidRPr="00B55B1D">
        <w:rPr>
          <w:rFonts w:ascii="Times New Roman" w:hAnsi="Times New Roman"/>
          <w:lang w:val="en-GB"/>
        </w:rPr>
        <w:t xml:space="preserve"> indigenous population – 8.6</w:t>
      </w:r>
      <w:r w:rsidR="003E5D58" w:rsidRPr="00B55B1D">
        <w:rPr>
          <w:rFonts w:ascii="Times New Roman" w:hAnsi="Times New Roman"/>
          <w:lang w:val="en-GB"/>
        </w:rPr>
        <w:t xml:space="preserve"> per cent</w:t>
      </w:r>
      <w:r w:rsidRPr="00B55B1D">
        <w:rPr>
          <w:rFonts w:ascii="Times New Roman" w:hAnsi="Times New Roman"/>
          <w:lang w:val="en-GB"/>
        </w:rPr>
        <w:t xml:space="preserve"> of the total</w:t>
      </w:r>
      <w:r w:rsidR="00FA798D" w:rsidRPr="00B55B1D">
        <w:rPr>
          <w:rFonts w:ascii="Times New Roman" w:hAnsi="Times New Roman"/>
          <w:lang w:val="en-GB"/>
        </w:rPr>
        <w:t xml:space="preserve"> Nicaraguan population</w:t>
      </w:r>
      <w:r w:rsidR="00872D98">
        <w:rPr>
          <w:rFonts w:ascii="Times New Roman" w:hAnsi="Times New Roman"/>
          <w:lang w:val="en-GB"/>
        </w:rPr>
        <w:t>;</w:t>
      </w:r>
      <w:r w:rsidRPr="00B55B1D">
        <w:rPr>
          <w:rFonts w:ascii="Times New Roman" w:hAnsi="Times New Roman"/>
          <w:lang w:val="en-GB"/>
        </w:rPr>
        <w:t xml:space="preserve"> the </w:t>
      </w:r>
      <w:proofErr w:type="spellStart"/>
      <w:r w:rsidRPr="00B55B1D">
        <w:rPr>
          <w:rFonts w:ascii="Times New Roman" w:hAnsi="Times New Roman"/>
          <w:lang w:val="en-GB"/>
        </w:rPr>
        <w:t>Miskitu</w:t>
      </w:r>
      <w:proofErr w:type="spellEnd"/>
      <w:r w:rsidRPr="00B55B1D">
        <w:rPr>
          <w:rFonts w:ascii="Times New Roman" w:hAnsi="Times New Roman"/>
          <w:lang w:val="en-GB"/>
        </w:rPr>
        <w:t xml:space="preserve"> comprise the largest group with 121,000 people (INEC 2005). (For more information on this cas</w:t>
      </w:r>
      <w:r w:rsidR="007C32E7" w:rsidRPr="00B55B1D">
        <w:rPr>
          <w:rFonts w:ascii="Times New Roman" w:hAnsi="Times New Roman"/>
          <w:lang w:val="en-GB"/>
        </w:rPr>
        <w:t xml:space="preserve">e, see </w:t>
      </w:r>
      <w:r w:rsidR="003E5D58" w:rsidRPr="00B55B1D">
        <w:rPr>
          <w:rFonts w:ascii="Times New Roman" w:hAnsi="Times New Roman"/>
          <w:lang w:val="en-GB"/>
        </w:rPr>
        <w:t xml:space="preserve">Larson, 2010; </w:t>
      </w:r>
      <w:r w:rsidR="007C32E7" w:rsidRPr="00B55B1D">
        <w:rPr>
          <w:rFonts w:ascii="Times New Roman" w:hAnsi="Times New Roman"/>
          <w:lang w:val="en-GB"/>
        </w:rPr>
        <w:t>Larson and Mendoza-Lewis</w:t>
      </w:r>
      <w:r w:rsidR="003E5D58" w:rsidRPr="00B55B1D">
        <w:rPr>
          <w:rFonts w:ascii="Times New Roman" w:hAnsi="Times New Roman"/>
          <w:lang w:val="en-GB"/>
        </w:rPr>
        <w:t>, 2009;</w:t>
      </w:r>
      <w:r w:rsidR="007C32E7" w:rsidRPr="00B55B1D">
        <w:rPr>
          <w:rFonts w:ascii="Times New Roman" w:hAnsi="Times New Roman"/>
          <w:lang w:val="en-GB"/>
        </w:rPr>
        <w:t xml:space="preserve"> </w:t>
      </w:r>
      <w:r w:rsidRPr="00B55B1D">
        <w:rPr>
          <w:rFonts w:ascii="Times New Roman" w:hAnsi="Times New Roman"/>
          <w:lang w:val="en-GB"/>
        </w:rPr>
        <w:t>Larson et al.</w:t>
      </w:r>
      <w:r w:rsidR="003E5D58" w:rsidRPr="00B55B1D">
        <w:rPr>
          <w:rFonts w:ascii="Times New Roman" w:hAnsi="Times New Roman"/>
          <w:lang w:val="en-GB"/>
        </w:rPr>
        <w:t>,</w:t>
      </w:r>
      <w:r w:rsidRPr="00B55B1D">
        <w:rPr>
          <w:rFonts w:ascii="Times New Roman" w:hAnsi="Times New Roman"/>
          <w:lang w:val="en-GB"/>
        </w:rPr>
        <w:t xml:space="preserve"> 2010c).</w:t>
      </w:r>
    </w:p>
    <w:p w:rsidR="00067A63" w:rsidRPr="00B55B1D" w:rsidRDefault="00067A63" w:rsidP="00067A63">
      <w:pPr>
        <w:spacing w:after="0"/>
        <w:rPr>
          <w:rFonts w:ascii="Times New Roman" w:hAnsi="Times New Roman"/>
          <w:lang w:val="en-GB"/>
        </w:rPr>
      </w:pPr>
    </w:p>
    <w:p w:rsidR="007C32E7" w:rsidRPr="00B55B1D" w:rsidRDefault="00067A63" w:rsidP="007C32E7">
      <w:pPr>
        <w:spacing w:after="0"/>
        <w:rPr>
          <w:rFonts w:ascii="Times New Roman" w:hAnsi="Times New Roman"/>
          <w:lang w:val="en-GB"/>
        </w:rPr>
      </w:pPr>
      <w:r w:rsidRPr="00B55B1D">
        <w:rPr>
          <w:rFonts w:ascii="Times New Roman" w:hAnsi="Times New Roman"/>
          <w:lang w:val="en-GB"/>
        </w:rPr>
        <w:t xml:space="preserve">After indigenous land rights were formally recognized in the Constitution, it took another 15 years and an international court case for the National Assembly to pass the Communal Lands Law (Law 448). The court case held significance for indigenous rights throughout Latin America. In that case, the community of </w:t>
      </w:r>
      <w:proofErr w:type="spellStart"/>
      <w:r w:rsidRPr="00B55B1D">
        <w:rPr>
          <w:rFonts w:ascii="Times New Roman" w:hAnsi="Times New Roman"/>
          <w:lang w:val="en-GB"/>
        </w:rPr>
        <w:t>Awas</w:t>
      </w:r>
      <w:proofErr w:type="spellEnd"/>
      <w:r w:rsidRPr="00B55B1D">
        <w:rPr>
          <w:rFonts w:ascii="Times New Roman" w:hAnsi="Times New Roman"/>
          <w:lang w:val="en-GB"/>
        </w:rPr>
        <w:t xml:space="preserve"> </w:t>
      </w:r>
      <w:proofErr w:type="spellStart"/>
      <w:r w:rsidRPr="00B55B1D">
        <w:rPr>
          <w:rFonts w:ascii="Times New Roman" w:hAnsi="Times New Roman"/>
          <w:lang w:val="en-GB"/>
        </w:rPr>
        <w:t>Tingni</w:t>
      </w:r>
      <w:proofErr w:type="spellEnd"/>
      <w:r w:rsidRPr="00B55B1D">
        <w:rPr>
          <w:rFonts w:ascii="Times New Roman" w:hAnsi="Times New Roman"/>
          <w:lang w:val="en-GB"/>
        </w:rPr>
        <w:t xml:space="preserve"> filed a demand before the Inter-American Court for Human Rights (CIDH) against the Nicaraguan government for granting a forest concession, on their traditional lands and without community consent, to the Korean company SOLCARSA in 1995. The community’s legal representatives had fought the concession in the national courts to no avail, in spite of a Supreme Court ruling in 1997 that the concession was unconstitutional for failing to obtain the </w:t>
      </w:r>
      <w:proofErr w:type="gramStart"/>
      <w:r w:rsidR="00872D98">
        <w:rPr>
          <w:rFonts w:ascii="Times New Roman" w:hAnsi="Times New Roman"/>
          <w:lang w:val="en-GB"/>
        </w:rPr>
        <w:t>legally-required</w:t>
      </w:r>
      <w:proofErr w:type="gramEnd"/>
      <w:r w:rsidRPr="00B55B1D">
        <w:rPr>
          <w:rFonts w:ascii="Times New Roman" w:hAnsi="Times New Roman"/>
          <w:lang w:val="en-GB"/>
        </w:rPr>
        <w:t xml:space="preserve"> approval of the Regional Council</w:t>
      </w:r>
      <w:r w:rsidR="00872D98">
        <w:rPr>
          <w:rFonts w:ascii="Times New Roman" w:hAnsi="Times New Roman"/>
          <w:lang w:val="en-GB"/>
        </w:rPr>
        <w:t xml:space="preserve"> </w:t>
      </w:r>
      <w:r w:rsidR="001B5642" w:rsidRPr="00B55B1D">
        <w:rPr>
          <w:rFonts w:ascii="Times New Roman" w:hAnsi="Times New Roman"/>
          <w:lang w:val="en-GB"/>
        </w:rPr>
        <w:t>(Wiggins</w:t>
      </w:r>
      <w:r w:rsidR="003E5D58" w:rsidRPr="00B55B1D">
        <w:rPr>
          <w:rFonts w:ascii="Times New Roman" w:hAnsi="Times New Roman"/>
          <w:lang w:val="en-GB"/>
        </w:rPr>
        <w:t>,</w:t>
      </w:r>
      <w:r w:rsidRPr="00B55B1D">
        <w:rPr>
          <w:rFonts w:ascii="Times New Roman" w:hAnsi="Times New Roman"/>
          <w:lang w:val="en-GB"/>
        </w:rPr>
        <w:t xml:space="preserve"> 2002). In 2001, the CIDH ruled in favour of </w:t>
      </w:r>
      <w:proofErr w:type="spellStart"/>
      <w:r w:rsidRPr="00B55B1D">
        <w:rPr>
          <w:rFonts w:ascii="Times New Roman" w:hAnsi="Times New Roman"/>
          <w:lang w:val="en-GB"/>
        </w:rPr>
        <w:t>Awas</w:t>
      </w:r>
      <w:proofErr w:type="spellEnd"/>
      <w:r w:rsidRPr="00B55B1D">
        <w:rPr>
          <w:rFonts w:ascii="Times New Roman" w:hAnsi="Times New Roman"/>
          <w:lang w:val="en-GB"/>
        </w:rPr>
        <w:t xml:space="preserve"> </w:t>
      </w:r>
      <w:proofErr w:type="spellStart"/>
      <w:r w:rsidRPr="00B55B1D">
        <w:rPr>
          <w:rFonts w:ascii="Times New Roman" w:hAnsi="Times New Roman"/>
          <w:lang w:val="en-GB"/>
        </w:rPr>
        <w:t>Tingni</w:t>
      </w:r>
      <w:proofErr w:type="spellEnd"/>
      <w:r w:rsidRPr="00B55B1D">
        <w:rPr>
          <w:rFonts w:ascii="Times New Roman" w:hAnsi="Times New Roman"/>
          <w:lang w:val="en-GB"/>
        </w:rPr>
        <w:t>, holding that ‘the international human right to enjoy the benefits of property includes the right of indigenous peoples to the protection of their customary land and resou</w:t>
      </w:r>
      <w:r w:rsidR="007C32E7" w:rsidRPr="00B55B1D">
        <w:rPr>
          <w:rFonts w:ascii="Times New Roman" w:hAnsi="Times New Roman"/>
          <w:lang w:val="en-GB"/>
        </w:rPr>
        <w:t>rce tenure’ (Anaya and Grossman</w:t>
      </w:r>
      <w:r w:rsidR="003E5D58" w:rsidRPr="00B55B1D">
        <w:rPr>
          <w:rFonts w:ascii="Times New Roman" w:hAnsi="Times New Roman"/>
          <w:lang w:val="en-GB"/>
        </w:rPr>
        <w:t>,</w:t>
      </w:r>
      <w:r w:rsidRPr="00B55B1D">
        <w:rPr>
          <w:rFonts w:ascii="Times New Roman" w:hAnsi="Times New Roman"/>
          <w:lang w:val="en-GB"/>
        </w:rPr>
        <w:t xml:space="preserve"> 2002: 1). It found that the Nicaraguan Government had violated the American Convention on Human Rights as well as the community’s rights to communal property as guaranteed by the Nicaraguan Constitution. The Court ordered the state to adopt the relevant legislative and administrative measures necessary to create an effective mechanism for demarcation and titling for indigenous communities ‘in accordance with their customary laws, values, customs and mores’ (Judgme</w:t>
      </w:r>
      <w:r w:rsidR="007C32E7" w:rsidRPr="00B55B1D">
        <w:rPr>
          <w:rFonts w:ascii="Times New Roman" w:hAnsi="Times New Roman"/>
          <w:lang w:val="en-GB"/>
        </w:rPr>
        <w:t>nt, cited in Anaya and Grossman</w:t>
      </w:r>
      <w:r w:rsidR="003E5D58" w:rsidRPr="00B55B1D">
        <w:rPr>
          <w:rFonts w:ascii="Times New Roman" w:hAnsi="Times New Roman"/>
          <w:lang w:val="en-GB"/>
        </w:rPr>
        <w:t>,</w:t>
      </w:r>
      <w:r w:rsidRPr="00B55B1D">
        <w:rPr>
          <w:rFonts w:ascii="Times New Roman" w:hAnsi="Times New Roman"/>
          <w:lang w:val="en-GB"/>
        </w:rPr>
        <w:t xml:space="preserve"> 2002: 13). </w:t>
      </w:r>
    </w:p>
    <w:p w:rsidR="00067A63" w:rsidRPr="00B55B1D" w:rsidRDefault="00067A63" w:rsidP="007C32E7">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Until this time, the central government had continued to treat the region’s natural resources as state property; if regional council permission was required, it was usually granted. The region</w:t>
      </w:r>
      <w:r w:rsidR="00AB0200">
        <w:rPr>
          <w:rFonts w:ascii="Times New Roman" w:hAnsi="Times New Roman"/>
          <w:lang w:val="en-GB"/>
        </w:rPr>
        <w:t>al</w:t>
      </w:r>
      <w:r w:rsidRPr="00B55B1D">
        <w:rPr>
          <w:rFonts w:ascii="Times New Roman" w:hAnsi="Times New Roman"/>
          <w:lang w:val="en-GB"/>
        </w:rPr>
        <w:t xml:space="preserve"> councils were very weak and had little funding or power. By 2003, this began to change. Three factors played key roles: the communal lands law (in effect as of January, 2003), the long-awaited approval of the implementing regulations of the Autonomy Statute (2003), and, most importantly, a change of government (January, 2007). The first titles were delivered in late 2006, but it was thanks largely to an alliance between the government administration entering in 2007 and the </w:t>
      </w:r>
      <w:proofErr w:type="spellStart"/>
      <w:r w:rsidRPr="00B55B1D">
        <w:rPr>
          <w:rFonts w:ascii="Times New Roman" w:hAnsi="Times New Roman"/>
          <w:lang w:val="en-GB"/>
        </w:rPr>
        <w:t>Miskitu</w:t>
      </w:r>
      <w:proofErr w:type="spellEnd"/>
      <w:r w:rsidRPr="00B55B1D">
        <w:rPr>
          <w:rFonts w:ascii="Times New Roman" w:hAnsi="Times New Roman"/>
          <w:lang w:val="en-GB"/>
        </w:rPr>
        <w:t xml:space="preserve"> political party </w:t>
      </w:r>
      <w:proofErr w:type="spellStart"/>
      <w:r w:rsidRPr="00B55B1D">
        <w:rPr>
          <w:rFonts w:ascii="Times New Roman" w:hAnsi="Times New Roman"/>
          <w:lang w:val="en-GB"/>
        </w:rPr>
        <w:t>Yatama</w:t>
      </w:r>
      <w:proofErr w:type="spellEnd"/>
      <w:r w:rsidRPr="00B55B1D">
        <w:rPr>
          <w:rFonts w:ascii="Times New Roman" w:hAnsi="Times New Roman"/>
          <w:lang w:val="en-GB"/>
        </w:rPr>
        <w:t xml:space="preserve"> that</w:t>
      </w:r>
      <w:r w:rsidR="00236860">
        <w:rPr>
          <w:rFonts w:ascii="Times New Roman" w:hAnsi="Times New Roman"/>
          <w:lang w:val="en-GB"/>
        </w:rPr>
        <w:t xml:space="preserve"> </w:t>
      </w:r>
      <w:r w:rsidRPr="00B55B1D">
        <w:rPr>
          <w:rFonts w:ascii="Times New Roman" w:hAnsi="Times New Roman"/>
          <w:lang w:val="en-GB"/>
        </w:rPr>
        <w:t xml:space="preserve">most of the indigenous territorial claims in the RAAN, </w:t>
      </w:r>
      <w:r w:rsidRPr="00236860">
        <w:rPr>
          <w:rFonts w:ascii="Times New Roman" w:hAnsi="Times New Roman"/>
          <w:lang w:val="en-GB"/>
        </w:rPr>
        <w:t>13 territories for a total of almost 1.6 million ha, had been titled by mid-2010 (</w:t>
      </w:r>
      <w:r w:rsidR="00236860">
        <w:rPr>
          <w:rFonts w:ascii="Times New Roman" w:hAnsi="Times New Roman"/>
          <w:lang w:val="en-GB"/>
        </w:rPr>
        <w:t>PGR</w:t>
      </w:r>
      <w:r w:rsidR="003E5D58" w:rsidRPr="00236860">
        <w:rPr>
          <w:rFonts w:ascii="Times New Roman" w:hAnsi="Times New Roman"/>
          <w:lang w:val="en-GB"/>
        </w:rPr>
        <w:t>,</w:t>
      </w:r>
      <w:r w:rsidRPr="00236860">
        <w:rPr>
          <w:rFonts w:ascii="Times New Roman" w:hAnsi="Times New Roman"/>
          <w:lang w:val="en-GB"/>
        </w:rPr>
        <w:t xml:space="preserve"> 2010</w:t>
      </w:r>
      <w:r w:rsidRPr="00B55B1D">
        <w:rPr>
          <w:rFonts w:ascii="Times New Roman" w:hAnsi="Times New Roman"/>
          <w:lang w:val="en-GB"/>
        </w:rPr>
        <w:t>). Today, the greatest direct threat to indigenous lands and resources comes from invasions by c</w:t>
      </w:r>
      <w:r w:rsidR="00872D98">
        <w:rPr>
          <w:rFonts w:ascii="Times New Roman" w:hAnsi="Times New Roman"/>
          <w:lang w:val="en-GB"/>
        </w:rPr>
        <w:t xml:space="preserve">olonist peasants and ranchers; </w:t>
      </w:r>
      <w:r w:rsidRPr="00B55B1D">
        <w:rPr>
          <w:rFonts w:ascii="Times New Roman" w:hAnsi="Times New Roman"/>
          <w:lang w:val="en-GB"/>
        </w:rPr>
        <w:t>indigenous communities see titles as a way to strengthen their claim.</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Like the Constitution, the communal lands law formally recognizes indigenous land rights but also establishes the institutional framework for demarcation and titling, with procedures for titling as either a single community or a group of communities. The communal lands law formally recognizes traditional communal authorities as the legal representative (externally) and government (internally) o</w:t>
      </w:r>
      <w:r w:rsidR="00872D98">
        <w:rPr>
          <w:rFonts w:ascii="Times New Roman" w:hAnsi="Times New Roman"/>
          <w:lang w:val="en-GB"/>
        </w:rPr>
        <w:t>f the community (Art. 3). The most important of these are</w:t>
      </w:r>
      <w:r w:rsidRPr="00B55B1D">
        <w:rPr>
          <w:rFonts w:ascii="Times New Roman" w:hAnsi="Times New Roman"/>
          <w:lang w:val="en-GB"/>
        </w:rPr>
        <w:t xml:space="preserve"> the </w:t>
      </w:r>
      <w:proofErr w:type="spellStart"/>
      <w:r w:rsidRPr="00B55B1D">
        <w:rPr>
          <w:rFonts w:ascii="Times New Roman" w:hAnsi="Times New Roman"/>
          <w:i/>
          <w:lang w:val="en-GB"/>
        </w:rPr>
        <w:t>síndico</w:t>
      </w:r>
      <w:proofErr w:type="spellEnd"/>
      <w:r w:rsidRPr="00B55B1D">
        <w:rPr>
          <w:rFonts w:ascii="Times New Roman" w:hAnsi="Times New Roman"/>
          <w:lang w:val="en-GB"/>
        </w:rPr>
        <w:t xml:space="preserve"> (the authority normally in charge of land a</w:t>
      </w:r>
      <w:r w:rsidR="00872D98">
        <w:rPr>
          <w:rFonts w:ascii="Times New Roman" w:hAnsi="Times New Roman"/>
          <w:lang w:val="en-GB"/>
        </w:rPr>
        <w:t xml:space="preserve">nd natural resource allocation) and </w:t>
      </w:r>
      <w:proofErr w:type="spellStart"/>
      <w:r w:rsidRPr="00B55B1D">
        <w:rPr>
          <w:rFonts w:ascii="Times New Roman" w:hAnsi="Times New Roman"/>
          <w:i/>
          <w:lang w:val="en-GB"/>
        </w:rPr>
        <w:t>wihta</w:t>
      </w:r>
      <w:proofErr w:type="spellEnd"/>
      <w:r w:rsidRPr="00B55B1D">
        <w:rPr>
          <w:rFonts w:ascii="Times New Roman" w:hAnsi="Times New Roman"/>
          <w:lang w:val="en-GB"/>
        </w:rPr>
        <w:t xml:space="preserve"> (</w:t>
      </w:r>
      <w:r w:rsidR="00872D98">
        <w:rPr>
          <w:rFonts w:ascii="Times New Roman" w:hAnsi="Times New Roman"/>
          <w:lang w:val="en-GB"/>
        </w:rPr>
        <w:t xml:space="preserve">judge). In </w:t>
      </w:r>
      <w:r w:rsidRPr="00B55B1D">
        <w:rPr>
          <w:rFonts w:ascii="Times New Roman" w:hAnsi="Times New Roman"/>
          <w:lang w:val="en-GB"/>
        </w:rPr>
        <w:t xml:space="preserve">practice the </w:t>
      </w:r>
      <w:proofErr w:type="spellStart"/>
      <w:r w:rsidRPr="00B55B1D">
        <w:rPr>
          <w:rFonts w:ascii="Times New Roman" w:hAnsi="Times New Roman"/>
          <w:i/>
          <w:lang w:val="en-GB"/>
        </w:rPr>
        <w:t>síndico</w:t>
      </w:r>
      <w:proofErr w:type="spellEnd"/>
      <w:r w:rsidRPr="00B55B1D">
        <w:rPr>
          <w:rFonts w:ascii="Times New Roman" w:hAnsi="Times New Roman"/>
          <w:lang w:val="en-GB"/>
        </w:rPr>
        <w:t xml:space="preserve"> has usually been designated as the local official whose legal signature is needed to represent the decision of the collective. In Nicaragua’s indigenous communities, these authorities are usually elected annually.</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When communities form multi-community territories, the territorial authority is to be elected by an assembly of all the communal authorities from participating communities, according to the procedures they adopt (Art. 3, 4). This new governance institution is the administrative organ and legal representative of the territorial unit (Art. 5). The regional council then registers and certifies the people elected. The new legal framework states that </w:t>
      </w:r>
      <w:r w:rsidRPr="00B55B1D">
        <w:rPr>
          <w:rFonts w:ascii="Times New Roman" w:hAnsi="Times New Roman"/>
          <w:i/>
          <w:lang w:val="en-GB"/>
        </w:rPr>
        <w:t>community or territorial authorities</w:t>
      </w:r>
      <w:r w:rsidRPr="00B55B1D">
        <w:rPr>
          <w:rFonts w:ascii="Times New Roman" w:hAnsi="Times New Roman"/>
          <w:lang w:val="en-GB"/>
        </w:rPr>
        <w:t>, if and when ‘they have the express mandate of the Community Assembly’, should authorize all contracts for resource exploitation. The elected community-scale institution authorizes the use of communal land and resources by third parties; the territorial-scale institution authorizes the use of resources common to the multiple communities of a territory (Art. 10).</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Two groups of communities were studied in-depth, </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and </w:t>
      </w:r>
      <w:proofErr w:type="spellStart"/>
      <w:r w:rsidRPr="00B55B1D">
        <w:rPr>
          <w:rFonts w:ascii="Times New Roman" w:hAnsi="Times New Roman"/>
          <w:lang w:val="en-GB"/>
        </w:rPr>
        <w:t>Layasiksa</w:t>
      </w:r>
      <w:proofErr w:type="spellEnd"/>
      <w:r w:rsidRPr="00B55B1D">
        <w:rPr>
          <w:rFonts w:ascii="Times New Roman" w:hAnsi="Times New Roman"/>
          <w:lang w:val="en-GB"/>
        </w:rPr>
        <w:t xml:space="preserve">. The former had decided to form a 7-community territory as of </w:t>
      </w:r>
      <w:proofErr w:type="gramStart"/>
      <w:r w:rsidRPr="00B55B1D">
        <w:rPr>
          <w:rFonts w:ascii="Times New Roman" w:hAnsi="Times New Roman"/>
          <w:lang w:val="en-GB"/>
        </w:rPr>
        <w:t>2005,</w:t>
      </w:r>
      <w:proofErr w:type="gramEnd"/>
      <w:r w:rsidRPr="00B55B1D">
        <w:rPr>
          <w:rFonts w:ascii="Times New Roman" w:hAnsi="Times New Roman"/>
          <w:lang w:val="en-GB"/>
        </w:rPr>
        <w:t xml:space="preserve"> the latter </w:t>
      </w:r>
      <w:r w:rsidR="00B82884">
        <w:rPr>
          <w:rFonts w:ascii="Times New Roman" w:hAnsi="Times New Roman"/>
          <w:lang w:val="en-GB"/>
        </w:rPr>
        <w:t>was comprised of 2 communities</w:t>
      </w:r>
      <w:r w:rsidRPr="00B55B1D">
        <w:rPr>
          <w:rFonts w:ascii="Times New Roman" w:hAnsi="Times New Roman"/>
          <w:lang w:val="en-GB"/>
        </w:rPr>
        <w:t xml:space="preserve">. Both designed their territories based on common history and affiliation as a group of communities, and both had elected their territorial authorities according to the procedures established </w:t>
      </w:r>
      <w:r w:rsidR="00B82884">
        <w:rPr>
          <w:rFonts w:ascii="Times New Roman" w:hAnsi="Times New Roman"/>
          <w:lang w:val="en-GB"/>
        </w:rPr>
        <w:t>by</w:t>
      </w:r>
      <w:r w:rsidRPr="00B55B1D">
        <w:rPr>
          <w:rFonts w:ascii="Times New Roman" w:hAnsi="Times New Roman"/>
          <w:lang w:val="en-GB"/>
        </w:rPr>
        <w:t xml:space="preserve"> law. Nevertheless, the autonomous government would not provide accreditation, and indigenous political leaders refused to recognize their territories.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Political leaders from </w:t>
      </w:r>
      <w:proofErr w:type="spellStart"/>
      <w:r w:rsidRPr="00B55B1D">
        <w:rPr>
          <w:rFonts w:ascii="Times New Roman" w:hAnsi="Times New Roman"/>
          <w:lang w:val="en-GB"/>
        </w:rPr>
        <w:t>Yatama</w:t>
      </w:r>
      <w:proofErr w:type="spellEnd"/>
      <w:r w:rsidRPr="00B55B1D">
        <w:rPr>
          <w:rFonts w:ascii="Times New Roman" w:hAnsi="Times New Roman"/>
          <w:lang w:val="en-GB"/>
        </w:rPr>
        <w:t xml:space="preserve"> were pressuring communities throughout the region to form territories based on a design of their own conception. According to </w:t>
      </w:r>
      <w:proofErr w:type="spellStart"/>
      <w:r w:rsidRPr="00B55B1D">
        <w:rPr>
          <w:rFonts w:ascii="Times New Roman" w:hAnsi="Times New Roman"/>
          <w:lang w:val="en-GB"/>
        </w:rPr>
        <w:t>Miskitu</w:t>
      </w:r>
      <w:proofErr w:type="spellEnd"/>
      <w:r w:rsidRPr="00B55B1D">
        <w:rPr>
          <w:rFonts w:ascii="Times New Roman" w:hAnsi="Times New Roman"/>
          <w:lang w:val="en-GB"/>
        </w:rPr>
        <w:t xml:space="preserve"> leaders, they were interested in forming territories that covered a significant part of the land area, including all indigenous communities inside territories and moving quickly while the political moment was favourable (the current central administration), in order to position themselves ‘in between’ the central government and the region’s c</w:t>
      </w:r>
      <w:r w:rsidR="007C32E7" w:rsidRPr="00B55B1D">
        <w:rPr>
          <w:rFonts w:ascii="Times New Roman" w:hAnsi="Times New Roman"/>
          <w:lang w:val="en-GB"/>
        </w:rPr>
        <w:t>ommunities and resources (CRAAN</w:t>
      </w:r>
      <w:r w:rsidR="003E5D58" w:rsidRPr="00B55B1D">
        <w:rPr>
          <w:rFonts w:ascii="Times New Roman" w:hAnsi="Times New Roman"/>
          <w:lang w:val="en-GB"/>
        </w:rPr>
        <w:t>,</w:t>
      </w:r>
      <w:r w:rsidRPr="00B55B1D">
        <w:rPr>
          <w:rFonts w:ascii="Times New Roman" w:hAnsi="Times New Roman"/>
          <w:lang w:val="en-GB"/>
        </w:rPr>
        <w:t xml:space="preserve"> 2007). Most importantly, their design involves reshaping the region’s electoral districts; the municipal structure imposed by the central government would be eliminated and replaced with </w:t>
      </w:r>
      <w:proofErr w:type="gramStart"/>
      <w:r w:rsidRPr="00B55B1D">
        <w:rPr>
          <w:rFonts w:ascii="Times New Roman" w:hAnsi="Times New Roman"/>
          <w:lang w:val="en-GB"/>
        </w:rPr>
        <w:t>an ‘indigenous’</w:t>
      </w:r>
      <w:proofErr w:type="gramEnd"/>
      <w:r w:rsidRPr="00B55B1D">
        <w:rPr>
          <w:rFonts w:ascii="Times New Roman" w:hAnsi="Times New Roman"/>
          <w:lang w:val="en-GB"/>
        </w:rPr>
        <w:t xml:space="preserve"> structure of territories and territorial authorities.</w:t>
      </w:r>
      <w:r w:rsidRPr="00B55B1D">
        <w:rPr>
          <w:rStyle w:val="FootnoteReference"/>
          <w:rFonts w:ascii="Times New Roman" w:hAnsi="Times New Roman"/>
          <w:lang w:val="en-GB"/>
        </w:rPr>
        <w:footnoteReference w:id="3"/>
      </w:r>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820108" w:rsidRPr="00B55B1D" w:rsidRDefault="00067A63" w:rsidP="00820108">
      <w:pPr>
        <w:spacing w:after="0"/>
        <w:rPr>
          <w:rFonts w:ascii="Times New Roman" w:hAnsi="Times New Roman"/>
          <w:lang w:val="en-GB"/>
        </w:rPr>
      </w:pPr>
      <w:r w:rsidRPr="00B55B1D">
        <w:rPr>
          <w:rFonts w:ascii="Times New Roman" w:hAnsi="Times New Roman"/>
          <w:lang w:val="en-GB"/>
        </w:rPr>
        <w:t xml:space="preserve">In theory, if community self-government were the foundation, with multi-community territorial institutions at the second tier and electoral districts based on these structures for the election of the regional autonomous councils, this new governance structure could provide the institutional basis for the self-determination of the indigenous and ethnic populations of the autonomous regions. But not all indigenous and ethnic groups, even many </w:t>
      </w:r>
      <w:proofErr w:type="spellStart"/>
      <w:r w:rsidRPr="00B55B1D">
        <w:rPr>
          <w:rFonts w:ascii="Times New Roman" w:hAnsi="Times New Roman"/>
          <w:lang w:val="en-GB"/>
        </w:rPr>
        <w:t>Miskitu</w:t>
      </w:r>
      <w:proofErr w:type="spellEnd"/>
      <w:r w:rsidRPr="00B55B1D">
        <w:rPr>
          <w:rFonts w:ascii="Times New Roman" w:hAnsi="Times New Roman"/>
          <w:lang w:val="en-GB"/>
        </w:rPr>
        <w:t xml:space="preserve">, feel represented by </w:t>
      </w:r>
      <w:proofErr w:type="spellStart"/>
      <w:r w:rsidRPr="00B55B1D">
        <w:rPr>
          <w:rFonts w:ascii="Times New Roman" w:hAnsi="Times New Roman"/>
          <w:lang w:val="en-GB"/>
        </w:rPr>
        <w:t>Yatama</w:t>
      </w:r>
      <w:proofErr w:type="spellEnd"/>
      <w:r w:rsidRPr="00B55B1D">
        <w:rPr>
          <w:rFonts w:ascii="Times New Roman" w:hAnsi="Times New Roman"/>
          <w:lang w:val="en-GB"/>
        </w:rPr>
        <w:t xml:space="preserve"> or trust </w:t>
      </w:r>
      <w:r w:rsidR="00820108" w:rsidRPr="00B55B1D">
        <w:rPr>
          <w:rFonts w:ascii="Times New Roman" w:hAnsi="Times New Roman"/>
          <w:lang w:val="en-GB"/>
        </w:rPr>
        <w:t>the</w:t>
      </w:r>
      <w:r w:rsidRPr="00B55B1D">
        <w:rPr>
          <w:rFonts w:ascii="Times New Roman" w:hAnsi="Times New Roman"/>
          <w:lang w:val="en-GB"/>
        </w:rPr>
        <w:t xml:space="preserve"> motivations</w:t>
      </w:r>
      <w:r w:rsidR="00820108" w:rsidRPr="00B55B1D">
        <w:rPr>
          <w:rFonts w:ascii="Times New Roman" w:hAnsi="Times New Roman"/>
          <w:lang w:val="en-GB"/>
        </w:rPr>
        <w:t xml:space="preserve"> of the region’s political leaders:</w:t>
      </w:r>
    </w:p>
    <w:p w:rsidR="00820108" w:rsidRPr="00B55B1D" w:rsidRDefault="00820108" w:rsidP="00067A63">
      <w:pPr>
        <w:spacing w:after="0"/>
        <w:rPr>
          <w:rFonts w:ascii="Times New Roman" w:hAnsi="Times New Roman"/>
          <w:lang w:val="en-GB"/>
        </w:rPr>
      </w:pPr>
    </w:p>
    <w:p w:rsidR="00820108" w:rsidRPr="00B55B1D" w:rsidRDefault="0091579E" w:rsidP="00820108">
      <w:pPr>
        <w:spacing w:after="0"/>
        <w:ind w:left="567"/>
        <w:rPr>
          <w:rFonts w:ascii="Times New Roman" w:hAnsi="Times New Roman"/>
          <w:lang w:val="en-GB"/>
        </w:rPr>
      </w:pPr>
      <w:r w:rsidRPr="00B55B1D">
        <w:rPr>
          <w:rFonts w:ascii="Times New Roman" w:hAnsi="Times New Roman"/>
          <w:i/>
          <w:lang w:val="en-GB"/>
        </w:rPr>
        <w:t>We believe that the national, regional and municipal government[s] pass laws in order to always be able to maintain control over the administration of our natural resources. They don’t want us to decide what to do with them on our own, because they would lose large sums of money that they get from cooperation agencies and enterprises by promoting indigenous territories’ areas and forests internationally and nationally</w:t>
      </w:r>
      <w:r w:rsidR="00922002" w:rsidRPr="00B55B1D">
        <w:rPr>
          <w:rFonts w:ascii="Times New Roman" w:hAnsi="Times New Roman"/>
          <w:lang w:val="en-GB"/>
        </w:rPr>
        <w:t xml:space="preserve"> (focus group, </w:t>
      </w:r>
      <w:proofErr w:type="spellStart"/>
      <w:r w:rsidR="00922002" w:rsidRPr="00B55B1D">
        <w:rPr>
          <w:rFonts w:ascii="Times New Roman" w:hAnsi="Times New Roman"/>
          <w:lang w:val="en-GB"/>
        </w:rPr>
        <w:t>Tasba</w:t>
      </w:r>
      <w:proofErr w:type="spellEnd"/>
      <w:r w:rsidR="00922002" w:rsidRPr="00B55B1D">
        <w:rPr>
          <w:rFonts w:ascii="Times New Roman" w:hAnsi="Times New Roman"/>
          <w:lang w:val="en-GB"/>
        </w:rPr>
        <w:t xml:space="preserve"> Raya).</w:t>
      </w:r>
    </w:p>
    <w:p w:rsidR="00820108" w:rsidRPr="00B55B1D" w:rsidRDefault="00820108" w:rsidP="00067A63">
      <w:pPr>
        <w:spacing w:after="0"/>
        <w:rPr>
          <w:rFonts w:ascii="Times New Roman" w:hAnsi="Times New Roman"/>
          <w:lang w:val="en-GB"/>
        </w:rPr>
      </w:pPr>
    </w:p>
    <w:p w:rsidR="00820108" w:rsidRPr="00B55B1D" w:rsidRDefault="00067A63" w:rsidP="00067A63">
      <w:pPr>
        <w:spacing w:after="0"/>
        <w:rPr>
          <w:rFonts w:ascii="Times New Roman" w:hAnsi="Times New Roman"/>
          <w:lang w:val="en-GB"/>
        </w:rPr>
      </w:pPr>
      <w:r w:rsidRPr="00B55B1D">
        <w:rPr>
          <w:rFonts w:ascii="Times New Roman" w:hAnsi="Times New Roman"/>
          <w:lang w:val="en-GB"/>
        </w:rPr>
        <w:t xml:space="preserve">In the two </w:t>
      </w:r>
      <w:r w:rsidR="00FA798D" w:rsidRPr="00B55B1D">
        <w:rPr>
          <w:rFonts w:ascii="Times New Roman" w:hAnsi="Times New Roman"/>
          <w:lang w:val="en-GB"/>
        </w:rPr>
        <w:t>cases</w:t>
      </w:r>
      <w:r w:rsidRPr="00B55B1D">
        <w:rPr>
          <w:rFonts w:ascii="Times New Roman" w:hAnsi="Times New Roman"/>
          <w:lang w:val="en-GB"/>
        </w:rPr>
        <w:t xml:space="preserve"> studied, the lack of accreditation of their elected authorities had concrete consequences, including the communities’ inability to access funds designated for the </w:t>
      </w:r>
      <w:r w:rsidR="0091579E" w:rsidRPr="00B55B1D">
        <w:rPr>
          <w:rFonts w:ascii="Times New Roman" w:hAnsi="Times New Roman"/>
          <w:lang w:val="en-GB"/>
        </w:rPr>
        <w:t>territory</w:t>
      </w:r>
      <w:r w:rsidRPr="00B55B1D">
        <w:rPr>
          <w:rFonts w:ascii="Times New Roman" w:hAnsi="Times New Roman"/>
          <w:lang w:val="en-GB"/>
        </w:rPr>
        <w:t xml:space="preserve">. Both </w:t>
      </w:r>
      <w:r w:rsidR="0091579E" w:rsidRPr="00B55B1D">
        <w:rPr>
          <w:rFonts w:ascii="Times New Roman" w:hAnsi="Times New Roman"/>
          <w:lang w:val="en-GB"/>
        </w:rPr>
        <w:t>territories</w:t>
      </w:r>
      <w:r w:rsidRPr="00B55B1D">
        <w:rPr>
          <w:rFonts w:ascii="Times New Roman" w:hAnsi="Times New Roman"/>
          <w:lang w:val="en-GB"/>
        </w:rPr>
        <w:t xml:space="preserve"> were subsumed into larger </w:t>
      </w:r>
      <w:r w:rsidR="00FA798D" w:rsidRPr="00B55B1D">
        <w:rPr>
          <w:rFonts w:ascii="Times New Roman" w:hAnsi="Times New Roman"/>
          <w:lang w:val="en-GB"/>
        </w:rPr>
        <w:t>groups of communities</w:t>
      </w:r>
      <w:r w:rsidRPr="00B55B1D">
        <w:rPr>
          <w:rFonts w:ascii="Times New Roman" w:hAnsi="Times New Roman"/>
          <w:lang w:val="en-GB"/>
        </w:rPr>
        <w:t xml:space="preserve"> according to </w:t>
      </w:r>
      <w:proofErr w:type="spellStart"/>
      <w:r w:rsidRPr="00B55B1D">
        <w:rPr>
          <w:rFonts w:ascii="Times New Roman" w:hAnsi="Times New Roman"/>
          <w:lang w:val="en-GB"/>
        </w:rPr>
        <w:t>Yatama’s</w:t>
      </w:r>
      <w:proofErr w:type="spellEnd"/>
      <w:r w:rsidRPr="00B55B1D">
        <w:rPr>
          <w:rFonts w:ascii="Times New Roman" w:hAnsi="Times New Roman"/>
          <w:lang w:val="en-GB"/>
        </w:rPr>
        <w:t xml:space="preserve"> design. And though the law mandates that ‘</w:t>
      </w:r>
      <w:r w:rsidR="0091579E" w:rsidRPr="00B55B1D">
        <w:rPr>
          <w:rFonts w:ascii="Times New Roman" w:hAnsi="Times New Roman"/>
          <w:lang w:val="en-GB"/>
        </w:rPr>
        <w:t>territorial</w:t>
      </w:r>
      <w:r w:rsidRPr="00B55B1D">
        <w:rPr>
          <w:rFonts w:ascii="Times New Roman" w:hAnsi="Times New Roman"/>
          <w:lang w:val="en-GB"/>
        </w:rPr>
        <w:t xml:space="preserve"> authorities’ be elected, </w:t>
      </w:r>
      <w:r w:rsidR="00FA798D" w:rsidRPr="00B55B1D">
        <w:rPr>
          <w:rFonts w:ascii="Times New Roman" w:hAnsi="Times New Roman"/>
          <w:lang w:val="en-GB"/>
        </w:rPr>
        <w:t>‘</w:t>
      </w:r>
      <w:r w:rsidRPr="00B55B1D">
        <w:rPr>
          <w:rFonts w:ascii="Times New Roman" w:hAnsi="Times New Roman"/>
          <w:lang w:val="en-GB"/>
        </w:rPr>
        <w:t>elections</w:t>
      </w:r>
      <w:r w:rsidR="00FA798D" w:rsidRPr="00B55B1D">
        <w:rPr>
          <w:rFonts w:ascii="Times New Roman" w:hAnsi="Times New Roman"/>
          <w:lang w:val="en-GB"/>
        </w:rPr>
        <w:t>’</w:t>
      </w:r>
      <w:r w:rsidRPr="00B55B1D">
        <w:rPr>
          <w:rFonts w:ascii="Times New Roman" w:hAnsi="Times New Roman"/>
          <w:lang w:val="en-GB"/>
        </w:rPr>
        <w:t xml:space="preserve"> that ha</w:t>
      </w:r>
      <w:r w:rsidR="00FA798D" w:rsidRPr="00B55B1D">
        <w:rPr>
          <w:rFonts w:ascii="Times New Roman" w:hAnsi="Times New Roman"/>
          <w:lang w:val="en-GB"/>
        </w:rPr>
        <w:t xml:space="preserve">d taken place in several </w:t>
      </w:r>
      <w:r w:rsidR="00B82884">
        <w:rPr>
          <w:rFonts w:ascii="Times New Roman" w:hAnsi="Times New Roman"/>
          <w:lang w:val="en-GB"/>
        </w:rPr>
        <w:t>territories</w:t>
      </w:r>
      <w:r w:rsidR="00FA798D" w:rsidRPr="00B55B1D">
        <w:rPr>
          <w:rFonts w:ascii="Times New Roman" w:hAnsi="Times New Roman"/>
          <w:lang w:val="en-GB"/>
        </w:rPr>
        <w:t xml:space="preserve"> </w:t>
      </w:r>
      <w:r w:rsidRPr="00B55B1D">
        <w:rPr>
          <w:rFonts w:ascii="Times New Roman" w:hAnsi="Times New Roman"/>
          <w:lang w:val="en-GB"/>
        </w:rPr>
        <w:t xml:space="preserve">were evidently manipulated. For example, in one case the people certified were not the ones elected. In other cases, the head of the </w:t>
      </w:r>
      <w:r w:rsidR="0091579E" w:rsidRPr="00B55B1D">
        <w:rPr>
          <w:rFonts w:ascii="Times New Roman" w:hAnsi="Times New Roman"/>
          <w:lang w:val="en-GB"/>
        </w:rPr>
        <w:t>territory</w:t>
      </w:r>
      <w:r w:rsidR="00B82884">
        <w:rPr>
          <w:rFonts w:ascii="Times New Roman" w:hAnsi="Times New Roman"/>
          <w:lang w:val="en-GB"/>
        </w:rPr>
        <w:t xml:space="preserve"> </w:t>
      </w:r>
      <w:r w:rsidRPr="00B55B1D">
        <w:rPr>
          <w:rFonts w:ascii="Times New Roman" w:hAnsi="Times New Roman"/>
          <w:lang w:val="en-GB"/>
        </w:rPr>
        <w:t xml:space="preserve">was unknown to community leaders, who clearly did not participate in his election. </w:t>
      </w:r>
    </w:p>
    <w:p w:rsidR="00820108" w:rsidRPr="00B55B1D" w:rsidRDefault="00820108"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choices that </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and </w:t>
      </w:r>
      <w:proofErr w:type="spellStart"/>
      <w:r w:rsidRPr="00B55B1D">
        <w:rPr>
          <w:rFonts w:ascii="Times New Roman" w:hAnsi="Times New Roman"/>
          <w:lang w:val="en-GB"/>
        </w:rPr>
        <w:t>Layasiksa</w:t>
      </w:r>
      <w:proofErr w:type="spellEnd"/>
      <w:r w:rsidRPr="00B55B1D">
        <w:rPr>
          <w:rFonts w:ascii="Times New Roman" w:hAnsi="Times New Roman"/>
          <w:lang w:val="en-GB"/>
        </w:rPr>
        <w:t xml:space="preserve"> had made – both in terms of territory and territorial authorities – enjoyed a large degree of internal legitimacy. Though there had been evidence of corruption among </w:t>
      </w:r>
      <w:r w:rsidR="00B82884">
        <w:rPr>
          <w:rFonts w:ascii="Times New Roman" w:hAnsi="Times New Roman"/>
          <w:lang w:val="en-GB"/>
        </w:rPr>
        <w:t>previous</w:t>
      </w:r>
      <w:r w:rsidRPr="00B55B1D">
        <w:rPr>
          <w:rFonts w:ascii="Times New Roman" w:hAnsi="Times New Roman"/>
          <w:lang w:val="en-GB"/>
        </w:rPr>
        <w:t xml:space="preserve"> leaders, both had worked with NGOs to help improve accountability, and the </w:t>
      </w:r>
      <w:proofErr w:type="spellStart"/>
      <w:r w:rsidRPr="00B55B1D">
        <w:rPr>
          <w:rFonts w:ascii="Times New Roman" w:hAnsi="Times New Roman"/>
          <w:i/>
          <w:lang w:val="en-GB"/>
        </w:rPr>
        <w:t>síndicos</w:t>
      </w:r>
      <w:proofErr w:type="spellEnd"/>
      <w:r w:rsidRPr="00B55B1D">
        <w:rPr>
          <w:rFonts w:ascii="Times New Roman" w:hAnsi="Times New Roman"/>
          <w:lang w:val="en-GB"/>
        </w:rPr>
        <w:t xml:space="preserve"> at the time of our study had been re-elected and </w:t>
      </w:r>
      <w:r w:rsidR="00B82884">
        <w:rPr>
          <w:rFonts w:ascii="Times New Roman" w:hAnsi="Times New Roman"/>
          <w:lang w:val="en-GB"/>
        </w:rPr>
        <w:t>were viewed favourably</w:t>
      </w:r>
      <w:r w:rsidRPr="00B55B1D">
        <w:rPr>
          <w:rFonts w:ascii="Times New Roman" w:hAnsi="Times New Roman"/>
          <w:lang w:val="en-GB"/>
        </w:rPr>
        <w:t xml:space="preserve">. These local leaders, in representation of their communities, used a variety of tactics to try to win the external legitimacy – specifically the regional government’s recognition – of these choices. </w:t>
      </w:r>
      <w:proofErr w:type="spellStart"/>
      <w:r w:rsidRPr="00B55B1D">
        <w:rPr>
          <w:rFonts w:ascii="Times New Roman" w:hAnsi="Times New Roman"/>
          <w:lang w:val="en-GB"/>
        </w:rPr>
        <w:t>Layasiksa</w:t>
      </w:r>
      <w:proofErr w:type="spellEnd"/>
      <w:r w:rsidRPr="00B55B1D">
        <w:rPr>
          <w:rFonts w:ascii="Times New Roman" w:hAnsi="Times New Roman"/>
          <w:lang w:val="en-GB"/>
        </w:rPr>
        <w:t>, for example, expanded beyond its 2-community conception and began negotiating with bordering communities</w:t>
      </w:r>
      <w:r w:rsidR="00163669">
        <w:rPr>
          <w:rFonts w:ascii="Times New Roman" w:hAnsi="Times New Roman"/>
          <w:lang w:val="en-GB"/>
        </w:rPr>
        <w:t xml:space="preserve"> to become a larger ‘territory’, </w:t>
      </w:r>
      <w:r w:rsidRPr="00B55B1D">
        <w:rPr>
          <w:rFonts w:ascii="Times New Roman" w:hAnsi="Times New Roman"/>
          <w:lang w:val="en-GB"/>
        </w:rPr>
        <w:t>though still much smaller than the one proposed by lead</w:t>
      </w:r>
      <w:r w:rsidR="00163669">
        <w:rPr>
          <w:rFonts w:ascii="Times New Roman" w:hAnsi="Times New Roman"/>
          <w:lang w:val="en-GB"/>
        </w:rPr>
        <w:t xml:space="preserve">ers; they also obtained donor </w:t>
      </w:r>
      <w:r w:rsidRPr="00B55B1D">
        <w:rPr>
          <w:rFonts w:ascii="Times New Roman" w:hAnsi="Times New Roman"/>
          <w:lang w:val="en-GB"/>
        </w:rPr>
        <w:t>funding from DFID to demarcate their territory</w:t>
      </w:r>
      <w:r w:rsidR="00163669">
        <w:rPr>
          <w:rFonts w:ascii="Times New Roman" w:hAnsi="Times New Roman"/>
          <w:lang w:val="en-GB"/>
        </w:rPr>
        <w:t xml:space="preserve"> themselves</w:t>
      </w:r>
      <w:r w:rsidRPr="00B55B1D">
        <w:rPr>
          <w:rFonts w:ascii="Times New Roman" w:hAnsi="Times New Roman"/>
          <w:lang w:val="en-GB"/>
        </w:rPr>
        <w:t xml:space="preserve">. Both </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and </w:t>
      </w:r>
      <w:proofErr w:type="spellStart"/>
      <w:r w:rsidRPr="00B55B1D">
        <w:rPr>
          <w:rFonts w:ascii="Times New Roman" w:hAnsi="Times New Roman"/>
          <w:lang w:val="en-GB"/>
        </w:rPr>
        <w:t>Layasiksa</w:t>
      </w:r>
      <w:proofErr w:type="spellEnd"/>
      <w:r w:rsidRPr="00B55B1D">
        <w:rPr>
          <w:rFonts w:ascii="Times New Roman" w:hAnsi="Times New Roman"/>
          <w:lang w:val="en-GB"/>
        </w:rPr>
        <w:t xml:space="preserve"> lobbied the government and sought support from local NGOs and organizations.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Political leaders, for their part, used political pressure and advocacy to try to win the legitimacy – or at least acceptance – of their position among communities. In June 2010, the elected territorial authority of </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received a title in representation of the much</w:t>
      </w:r>
      <w:r w:rsidR="00B82884">
        <w:rPr>
          <w:rFonts w:ascii="Times New Roman" w:hAnsi="Times New Roman"/>
          <w:lang w:val="en-GB"/>
        </w:rPr>
        <w:t xml:space="preserve"> larger territory of </w:t>
      </w:r>
      <w:proofErr w:type="spellStart"/>
      <w:r w:rsidR="00B82884">
        <w:rPr>
          <w:rFonts w:ascii="Times New Roman" w:hAnsi="Times New Roman"/>
          <w:lang w:val="en-GB"/>
        </w:rPr>
        <w:t>Wangki</w:t>
      </w:r>
      <w:proofErr w:type="spellEnd"/>
      <w:r w:rsidR="00B82884">
        <w:rPr>
          <w:rFonts w:ascii="Times New Roman" w:hAnsi="Times New Roman"/>
          <w:lang w:val="en-GB"/>
        </w:rPr>
        <w:t xml:space="preserve"> </w:t>
      </w:r>
      <w:proofErr w:type="spellStart"/>
      <w:r w:rsidR="00B82884">
        <w:rPr>
          <w:rFonts w:ascii="Times New Roman" w:hAnsi="Times New Roman"/>
          <w:lang w:val="en-GB"/>
        </w:rPr>
        <w:t>Twi</w:t>
      </w:r>
      <w:proofErr w:type="spellEnd"/>
      <w:r w:rsidR="00B82884">
        <w:rPr>
          <w:rFonts w:ascii="Times New Roman" w:hAnsi="Times New Roman"/>
          <w:lang w:val="en-GB"/>
        </w:rPr>
        <w:t>–</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he was able to negotiate a title that recognized two ‘sub-territories’ and the inclusion of the name ‘</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on the title. </w:t>
      </w:r>
      <w:proofErr w:type="spellStart"/>
      <w:r w:rsidRPr="00B55B1D">
        <w:rPr>
          <w:rFonts w:ascii="Times New Roman" w:hAnsi="Times New Roman"/>
          <w:lang w:val="en-GB"/>
        </w:rPr>
        <w:t>Layasiksa’s</w:t>
      </w:r>
      <w:proofErr w:type="spellEnd"/>
      <w:r w:rsidRPr="00B55B1D">
        <w:rPr>
          <w:rFonts w:ascii="Times New Roman" w:hAnsi="Times New Roman"/>
          <w:lang w:val="en-GB"/>
        </w:rPr>
        <w:t xml:space="preserve"> project has failed to win acceptance.</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proofErr w:type="spellStart"/>
      <w:r w:rsidRPr="00B55B1D">
        <w:rPr>
          <w:rFonts w:ascii="Times New Roman" w:hAnsi="Times New Roman"/>
          <w:b/>
          <w:lang w:val="en-GB"/>
        </w:rPr>
        <w:t>Guarayos</w:t>
      </w:r>
      <w:proofErr w:type="spellEnd"/>
      <w:r w:rsidRPr="00B55B1D">
        <w:rPr>
          <w:rFonts w:ascii="Times New Roman" w:hAnsi="Times New Roman"/>
          <w:b/>
          <w:lang w:val="en-GB"/>
        </w:rPr>
        <w:t xml:space="preserve"> TCO, Bolivia</w:t>
      </w:r>
    </w:p>
    <w:p w:rsidR="00067A63" w:rsidRPr="00B55B1D" w:rsidRDefault="00067A63" w:rsidP="00067A63">
      <w:pPr>
        <w:spacing w:after="0"/>
        <w:rPr>
          <w:rFonts w:ascii="Times New Roman" w:hAnsi="Times New Roman"/>
          <w:i/>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The recognition of indigenous land claims in Bolivia has resulted from a slow process of policy reform driven by mass marches and other forms of protest to pressure government decision makers. One result was the creation of a new type of indigenous property, known as a TCO</w:t>
      </w:r>
      <w:r w:rsidRPr="00B55B1D">
        <w:rPr>
          <w:rFonts w:ascii="Times New Roman" w:hAnsi="Times New Roman"/>
          <w:i/>
          <w:lang w:val="en-GB"/>
        </w:rPr>
        <w:t xml:space="preserve"> </w:t>
      </w:r>
      <w:r w:rsidRPr="00B55B1D">
        <w:rPr>
          <w:rFonts w:ascii="Times New Roman" w:hAnsi="Times New Roman"/>
          <w:lang w:val="en-GB"/>
        </w:rPr>
        <w:t>or</w:t>
      </w:r>
      <w:r w:rsidRPr="00B55B1D">
        <w:rPr>
          <w:rFonts w:ascii="Times New Roman" w:hAnsi="Times New Roman"/>
          <w:i/>
          <w:lang w:val="en-GB"/>
        </w:rPr>
        <w:t xml:space="preserve"> Tierra </w:t>
      </w:r>
      <w:proofErr w:type="spellStart"/>
      <w:r w:rsidRPr="00B55B1D">
        <w:rPr>
          <w:rFonts w:ascii="Times New Roman" w:hAnsi="Times New Roman"/>
          <w:i/>
          <w:lang w:val="en-GB"/>
        </w:rPr>
        <w:t>Comunitaria</w:t>
      </w:r>
      <w:proofErr w:type="spellEnd"/>
      <w:r w:rsidRPr="00B55B1D">
        <w:rPr>
          <w:rFonts w:ascii="Times New Roman" w:hAnsi="Times New Roman"/>
          <w:i/>
          <w:lang w:val="en-GB"/>
        </w:rPr>
        <w:t xml:space="preserve"> de Origen</w:t>
      </w:r>
      <w:r w:rsidRPr="00B55B1D">
        <w:rPr>
          <w:rFonts w:ascii="Times New Roman" w:hAnsi="Times New Roman"/>
          <w:lang w:val="en-GB"/>
        </w:rPr>
        <w:t xml:space="preserve"> (literally, original community land), ratified in the 1996 agrarian reform law. The experience presented here is based on the study of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TCO, located in a rapidly changing forest frontier province in the north of Bolivia’s Santa Cruz department (for more information on this ca</w:t>
      </w:r>
      <w:r w:rsidR="007C32E7" w:rsidRPr="00B55B1D">
        <w:rPr>
          <w:rFonts w:ascii="Times New Roman" w:hAnsi="Times New Roman"/>
          <w:lang w:val="en-GB"/>
        </w:rPr>
        <w:t xml:space="preserve">se, see </w:t>
      </w:r>
      <w:proofErr w:type="spellStart"/>
      <w:r w:rsidR="007C32E7" w:rsidRPr="00B55B1D">
        <w:rPr>
          <w:rFonts w:ascii="Times New Roman" w:hAnsi="Times New Roman"/>
          <w:lang w:val="en-GB"/>
        </w:rPr>
        <w:t>Cronkleton</w:t>
      </w:r>
      <w:proofErr w:type="spellEnd"/>
      <w:r w:rsidR="007C32E7" w:rsidRPr="00B55B1D">
        <w:rPr>
          <w:rFonts w:ascii="Times New Roman" w:hAnsi="Times New Roman"/>
          <w:lang w:val="en-GB"/>
        </w:rPr>
        <w:t xml:space="preserve"> et al.</w:t>
      </w:r>
      <w:r w:rsidR="003E5D58" w:rsidRPr="00B55B1D">
        <w:rPr>
          <w:rFonts w:ascii="Times New Roman" w:hAnsi="Times New Roman"/>
          <w:lang w:val="en-GB"/>
        </w:rPr>
        <w:t xml:space="preserve">, 2009; </w:t>
      </w:r>
      <w:r w:rsidRPr="00B55B1D">
        <w:rPr>
          <w:rFonts w:ascii="Times New Roman" w:hAnsi="Times New Roman"/>
          <w:lang w:val="en-GB"/>
        </w:rPr>
        <w:t>Larson et al.</w:t>
      </w:r>
      <w:r w:rsidR="003E5D58" w:rsidRPr="00B55B1D">
        <w:rPr>
          <w:rFonts w:ascii="Times New Roman" w:hAnsi="Times New Roman"/>
          <w:lang w:val="en-GB"/>
        </w:rPr>
        <w:t>,</w:t>
      </w:r>
      <w:r w:rsidRPr="00B55B1D">
        <w:rPr>
          <w:rFonts w:ascii="Times New Roman" w:hAnsi="Times New Roman"/>
          <w:lang w:val="en-GB"/>
        </w:rPr>
        <w:t xml:space="preserve"> 2010c).</w:t>
      </w:r>
    </w:p>
    <w:p w:rsidR="00067A63" w:rsidRPr="00B55B1D" w:rsidRDefault="00067A63" w:rsidP="00067A63">
      <w:pPr>
        <w:spacing w:after="0"/>
        <w:rPr>
          <w:rFonts w:ascii="Times New Roman" w:hAnsi="Times New Roman"/>
          <w:lang w:val="en-GB"/>
        </w:rPr>
      </w:pPr>
    </w:p>
    <w:p w:rsidR="00E41D84" w:rsidRPr="00B55B1D" w:rsidRDefault="00067A63" w:rsidP="00067A63">
      <w:pPr>
        <w:spacing w:after="0"/>
        <w:rPr>
          <w:rFonts w:ascii="Times New Roman" w:hAnsi="Times New Roman"/>
          <w:lang w:val="en-GB"/>
        </w:rPr>
      </w:pPr>
      <w:r w:rsidRPr="00B55B1D">
        <w:rPr>
          <w:rFonts w:ascii="Times New Roman" w:hAnsi="Times New Roman"/>
          <w:lang w:val="en-GB"/>
        </w:rPr>
        <w:t xml:space="preserve">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province in northern Santa Cruz was </w:t>
      </w:r>
      <w:r w:rsidR="00B82884" w:rsidRPr="00B55B1D">
        <w:rPr>
          <w:rFonts w:ascii="Times New Roman" w:hAnsi="Times New Roman"/>
          <w:lang w:val="en-GB"/>
        </w:rPr>
        <w:t xml:space="preserve">established </w:t>
      </w:r>
      <w:r w:rsidR="00B82884">
        <w:rPr>
          <w:rFonts w:ascii="Times New Roman" w:hAnsi="Times New Roman"/>
          <w:lang w:val="en-GB"/>
        </w:rPr>
        <w:t>i</w:t>
      </w:r>
      <w:r w:rsidR="00B82884" w:rsidRPr="00B55B1D">
        <w:rPr>
          <w:rFonts w:ascii="Times New Roman" w:hAnsi="Times New Roman"/>
          <w:lang w:val="en-GB"/>
        </w:rPr>
        <w:t>n the 19</w:t>
      </w:r>
      <w:r w:rsidR="00B82884" w:rsidRPr="00B55B1D">
        <w:rPr>
          <w:rFonts w:ascii="Times New Roman" w:hAnsi="Times New Roman"/>
          <w:vertAlign w:val="superscript"/>
          <w:lang w:val="en-GB"/>
        </w:rPr>
        <w:t>th</w:t>
      </w:r>
      <w:r w:rsidR="00B82884" w:rsidRPr="00B55B1D">
        <w:rPr>
          <w:rFonts w:ascii="Times New Roman" w:hAnsi="Times New Roman"/>
          <w:lang w:val="en-GB"/>
        </w:rPr>
        <w:t xml:space="preserve"> century</w:t>
      </w:r>
      <w:r w:rsidR="00B82884">
        <w:rPr>
          <w:rFonts w:ascii="Times New Roman" w:hAnsi="Times New Roman"/>
          <w:lang w:val="en-GB"/>
        </w:rPr>
        <w:t xml:space="preserve"> </w:t>
      </w:r>
      <w:r w:rsidRPr="00B55B1D">
        <w:rPr>
          <w:rFonts w:ascii="Times New Roman" w:hAnsi="Times New Roman"/>
          <w:lang w:val="en-GB"/>
        </w:rPr>
        <w:t>a</w:t>
      </w:r>
      <w:r w:rsidR="00B82884">
        <w:rPr>
          <w:rFonts w:ascii="Times New Roman" w:hAnsi="Times New Roman"/>
          <w:lang w:val="en-GB"/>
        </w:rPr>
        <w:t>s a Franciscan mission.</w:t>
      </w:r>
      <w:r w:rsidR="001A11FD">
        <w:rPr>
          <w:rFonts w:ascii="Times New Roman" w:hAnsi="Times New Roman"/>
          <w:lang w:val="en-GB"/>
        </w:rPr>
        <w:t xml:space="preserve"> The mission was secularized </w:t>
      </w:r>
      <w:r w:rsidRPr="00B55B1D">
        <w:rPr>
          <w:rFonts w:ascii="Times New Roman" w:hAnsi="Times New Roman"/>
          <w:lang w:val="en-GB"/>
        </w:rPr>
        <w:t xml:space="preserve">as a result of the 1952 revolution, but the subsequent agrarian reform had little impact. Regional elite took possession of some lands and indigenous people established </w:t>
      </w:r>
      <w:r w:rsidRPr="00B55B1D">
        <w:rPr>
          <w:rFonts w:ascii="Times New Roman" w:hAnsi="Times New Roman"/>
          <w:i/>
          <w:lang w:val="en-GB"/>
        </w:rPr>
        <w:t>de facto</w:t>
      </w:r>
      <w:r w:rsidRPr="00B55B1D">
        <w:rPr>
          <w:rFonts w:ascii="Times New Roman" w:hAnsi="Times New Roman"/>
          <w:lang w:val="en-GB"/>
        </w:rPr>
        <w:t xml:space="preserve"> control over areas around their villages. </w:t>
      </w:r>
      <w:r w:rsidR="00E41D84" w:rsidRPr="00B55B1D">
        <w:rPr>
          <w:rFonts w:ascii="Times New Roman" w:hAnsi="Times New Roman"/>
          <w:lang w:val="en-GB"/>
        </w:rPr>
        <w:t xml:space="preserve">Patterns </w:t>
      </w:r>
      <w:r w:rsidR="00B55B1D" w:rsidRPr="00B55B1D">
        <w:rPr>
          <w:rFonts w:ascii="Times New Roman" w:hAnsi="Times New Roman"/>
          <w:lang w:val="en-GB"/>
        </w:rPr>
        <w:t xml:space="preserve">of </w:t>
      </w:r>
      <w:r w:rsidR="00E41D84" w:rsidRPr="00B55B1D">
        <w:rPr>
          <w:rFonts w:ascii="Times New Roman" w:hAnsi="Times New Roman"/>
          <w:lang w:val="en-GB"/>
        </w:rPr>
        <w:t>local authority established during the mission period have persisted</w:t>
      </w:r>
      <w:r w:rsidR="00163669">
        <w:rPr>
          <w:rFonts w:ascii="Times New Roman" w:hAnsi="Times New Roman"/>
          <w:lang w:val="en-GB"/>
        </w:rPr>
        <w:t>,</w:t>
      </w:r>
      <w:r w:rsidR="00E41D84" w:rsidRPr="00B55B1D">
        <w:rPr>
          <w:rFonts w:ascii="Times New Roman" w:hAnsi="Times New Roman"/>
          <w:lang w:val="en-GB"/>
        </w:rPr>
        <w:t xml:space="preserve"> with village organizations called </w:t>
      </w:r>
      <w:proofErr w:type="spellStart"/>
      <w:r w:rsidR="0091579E" w:rsidRPr="00B55B1D">
        <w:rPr>
          <w:rFonts w:ascii="Times New Roman" w:hAnsi="Times New Roman"/>
          <w:i/>
          <w:lang w:val="en-GB"/>
        </w:rPr>
        <w:t>cabildos</w:t>
      </w:r>
      <w:proofErr w:type="spellEnd"/>
      <w:r w:rsidR="00E41D84" w:rsidRPr="00B55B1D">
        <w:rPr>
          <w:rFonts w:ascii="Times New Roman" w:hAnsi="Times New Roman"/>
          <w:lang w:val="en-GB"/>
        </w:rPr>
        <w:t xml:space="preserve"> headed by small groups of hereditary chiefs or </w:t>
      </w:r>
      <w:r w:rsidR="0091579E" w:rsidRPr="00B55B1D">
        <w:rPr>
          <w:rFonts w:ascii="Times New Roman" w:hAnsi="Times New Roman"/>
          <w:i/>
          <w:lang w:val="en-GB"/>
        </w:rPr>
        <w:t>caciques</w:t>
      </w:r>
      <w:r w:rsidR="00E41D84" w:rsidRPr="00B55B1D">
        <w:rPr>
          <w:rFonts w:ascii="Times New Roman" w:hAnsi="Times New Roman"/>
          <w:lang w:val="en-GB"/>
        </w:rPr>
        <w:t xml:space="preserve">. The power of these authorities </w:t>
      </w:r>
      <w:r w:rsidR="00B55B1D" w:rsidRPr="00B55B1D">
        <w:rPr>
          <w:rFonts w:ascii="Times New Roman" w:hAnsi="Times New Roman"/>
          <w:lang w:val="en-GB"/>
        </w:rPr>
        <w:t>was limited to the</w:t>
      </w:r>
      <w:r w:rsidR="00163669">
        <w:rPr>
          <w:rFonts w:ascii="Times New Roman" w:hAnsi="Times New Roman"/>
          <w:lang w:val="en-GB"/>
        </w:rPr>
        <w:t xml:space="preserve"> community</w:t>
      </w:r>
      <w:r w:rsidR="00B55B1D" w:rsidRPr="00B55B1D">
        <w:rPr>
          <w:rFonts w:ascii="Times New Roman" w:hAnsi="Times New Roman"/>
          <w:lang w:val="en-GB"/>
        </w:rPr>
        <w:t xml:space="preserve"> </w:t>
      </w:r>
      <w:r w:rsidR="001A11FD">
        <w:rPr>
          <w:rFonts w:ascii="Times New Roman" w:hAnsi="Times New Roman"/>
          <w:lang w:val="en-GB"/>
        </w:rPr>
        <w:t xml:space="preserve">scale </w:t>
      </w:r>
      <w:r w:rsidR="00E41D84" w:rsidRPr="00B55B1D">
        <w:rPr>
          <w:rFonts w:ascii="Times New Roman" w:hAnsi="Times New Roman"/>
          <w:lang w:val="en-GB"/>
        </w:rPr>
        <w:t xml:space="preserve">but was sanctioned by the Catholic Church. </w:t>
      </w:r>
    </w:p>
    <w:p w:rsidR="00E41D84" w:rsidRPr="00B55B1D" w:rsidRDefault="00E41D84"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1953 agrarian reform did not recognize specific </w:t>
      </w:r>
      <w:r w:rsidR="00E41D84" w:rsidRPr="00B55B1D">
        <w:rPr>
          <w:rFonts w:ascii="Times New Roman" w:hAnsi="Times New Roman"/>
          <w:lang w:val="en-GB"/>
        </w:rPr>
        <w:t xml:space="preserve">indigenous </w:t>
      </w:r>
      <w:r w:rsidRPr="00B55B1D">
        <w:rPr>
          <w:rFonts w:ascii="Times New Roman" w:hAnsi="Times New Roman"/>
          <w:lang w:val="en-GB"/>
        </w:rPr>
        <w:t xml:space="preserve">property rights but instead required indigenous people to adopt </w:t>
      </w:r>
      <w:r w:rsidR="00E41D84" w:rsidRPr="00B55B1D">
        <w:rPr>
          <w:rFonts w:ascii="Times New Roman" w:hAnsi="Times New Roman"/>
          <w:lang w:val="en-GB"/>
        </w:rPr>
        <w:t xml:space="preserve">the organizational strategies </w:t>
      </w:r>
      <w:r w:rsidRPr="00B55B1D">
        <w:rPr>
          <w:rFonts w:ascii="Times New Roman" w:hAnsi="Times New Roman"/>
          <w:lang w:val="en-GB"/>
        </w:rPr>
        <w:t xml:space="preserve">used by </w:t>
      </w:r>
      <w:r w:rsidR="00E41D84" w:rsidRPr="00B55B1D">
        <w:rPr>
          <w:rFonts w:ascii="Times New Roman" w:hAnsi="Times New Roman"/>
          <w:lang w:val="en-GB"/>
        </w:rPr>
        <w:t xml:space="preserve">rural </w:t>
      </w:r>
      <w:proofErr w:type="spellStart"/>
      <w:r w:rsidRPr="00B55B1D">
        <w:rPr>
          <w:rFonts w:ascii="Times New Roman" w:hAnsi="Times New Roman"/>
          <w:lang w:val="en-GB"/>
        </w:rPr>
        <w:t>campesino</w:t>
      </w:r>
      <w:proofErr w:type="spellEnd"/>
      <w:r w:rsidRPr="00B55B1D">
        <w:rPr>
          <w:rFonts w:ascii="Times New Roman" w:hAnsi="Times New Roman"/>
          <w:lang w:val="en-GB"/>
        </w:rPr>
        <w:t xml:space="preserve"> </w:t>
      </w:r>
      <w:r w:rsidR="00E41D84" w:rsidRPr="00B55B1D">
        <w:rPr>
          <w:rFonts w:ascii="Times New Roman" w:hAnsi="Times New Roman"/>
          <w:lang w:val="en-GB"/>
        </w:rPr>
        <w:t xml:space="preserve">unions </w:t>
      </w:r>
      <w:r w:rsidRPr="00B55B1D">
        <w:rPr>
          <w:rFonts w:ascii="Times New Roman" w:hAnsi="Times New Roman"/>
          <w:lang w:val="en-GB"/>
        </w:rPr>
        <w:t xml:space="preserve">called </w:t>
      </w:r>
      <w:proofErr w:type="spellStart"/>
      <w:r w:rsidRPr="00B55B1D">
        <w:rPr>
          <w:rFonts w:ascii="Times New Roman" w:hAnsi="Times New Roman"/>
          <w:i/>
          <w:lang w:val="en-GB"/>
        </w:rPr>
        <w:t>sindicatos</w:t>
      </w:r>
      <w:proofErr w:type="spellEnd"/>
      <w:r w:rsidRPr="00B55B1D">
        <w:rPr>
          <w:rFonts w:ascii="Times New Roman" w:hAnsi="Times New Roman"/>
          <w:lang w:val="en-GB"/>
        </w:rPr>
        <w:t xml:space="preserve">. </w:t>
      </w:r>
      <w:r w:rsidR="0053455C" w:rsidRPr="00B55B1D">
        <w:rPr>
          <w:rFonts w:ascii="Times New Roman" w:hAnsi="Times New Roman"/>
          <w:lang w:val="en-GB"/>
        </w:rPr>
        <w:t xml:space="preserve">In </w:t>
      </w:r>
      <w:proofErr w:type="spellStart"/>
      <w:r w:rsidR="0053455C" w:rsidRPr="00B55B1D">
        <w:rPr>
          <w:rFonts w:ascii="Times New Roman" w:hAnsi="Times New Roman"/>
          <w:lang w:val="en-GB"/>
        </w:rPr>
        <w:t>Guarayos</w:t>
      </w:r>
      <w:proofErr w:type="spellEnd"/>
      <w:r w:rsidR="00B55B1D" w:rsidRPr="00B55B1D">
        <w:rPr>
          <w:rFonts w:ascii="Times New Roman" w:hAnsi="Times New Roman"/>
          <w:lang w:val="en-GB"/>
        </w:rPr>
        <w:t xml:space="preserve"> in the 1970s</w:t>
      </w:r>
      <w:r w:rsidR="0053455C" w:rsidRPr="00B55B1D">
        <w:rPr>
          <w:rFonts w:ascii="Times New Roman" w:hAnsi="Times New Roman"/>
          <w:lang w:val="en-GB"/>
        </w:rPr>
        <w:t>, commu</w:t>
      </w:r>
      <w:r w:rsidR="00960AD0" w:rsidRPr="00B55B1D">
        <w:rPr>
          <w:rFonts w:ascii="Times New Roman" w:hAnsi="Times New Roman"/>
          <w:lang w:val="en-GB"/>
        </w:rPr>
        <w:t xml:space="preserve">nities began forming </w:t>
      </w:r>
      <w:proofErr w:type="spellStart"/>
      <w:r w:rsidR="0091579E" w:rsidRPr="00B55B1D">
        <w:rPr>
          <w:rFonts w:ascii="Times New Roman" w:hAnsi="Times New Roman"/>
          <w:i/>
          <w:lang w:val="en-GB"/>
        </w:rPr>
        <w:t>sindicatos</w:t>
      </w:r>
      <w:proofErr w:type="spellEnd"/>
      <w:r w:rsidR="00960AD0" w:rsidRPr="00B55B1D">
        <w:rPr>
          <w:rFonts w:ascii="Times New Roman" w:hAnsi="Times New Roman"/>
          <w:lang w:val="en-GB"/>
        </w:rPr>
        <w:t xml:space="preserve"> </w:t>
      </w:r>
      <w:r w:rsidR="0053455C" w:rsidRPr="00B55B1D">
        <w:rPr>
          <w:rFonts w:ascii="Times New Roman" w:hAnsi="Times New Roman"/>
          <w:lang w:val="en-GB"/>
        </w:rPr>
        <w:t>to occupy and allocate land</w:t>
      </w:r>
      <w:r w:rsidR="00960AD0" w:rsidRPr="00B55B1D">
        <w:rPr>
          <w:rFonts w:ascii="Times New Roman" w:hAnsi="Times New Roman"/>
          <w:lang w:val="en-GB"/>
        </w:rPr>
        <w:t xml:space="preserve">. </w:t>
      </w:r>
      <w:r w:rsidRPr="00B55B1D">
        <w:rPr>
          <w:rFonts w:ascii="Times New Roman" w:hAnsi="Times New Roman"/>
          <w:lang w:val="en-GB"/>
        </w:rPr>
        <w:t>The</w:t>
      </w:r>
      <w:r w:rsidR="00B55B1D" w:rsidRPr="00B55B1D">
        <w:rPr>
          <w:rFonts w:ascii="Times New Roman" w:hAnsi="Times New Roman"/>
          <w:lang w:val="en-GB"/>
        </w:rPr>
        <w:t>se</w:t>
      </w:r>
      <w:r w:rsidRPr="00B55B1D">
        <w:rPr>
          <w:rFonts w:ascii="Times New Roman" w:hAnsi="Times New Roman"/>
          <w:lang w:val="en-GB"/>
        </w:rPr>
        <w:t xml:space="preserve"> </w:t>
      </w:r>
      <w:proofErr w:type="spellStart"/>
      <w:r w:rsidRPr="00B55B1D">
        <w:rPr>
          <w:rFonts w:ascii="Times New Roman" w:hAnsi="Times New Roman"/>
          <w:i/>
          <w:lang w:val="en-GB"/>
        </w:rPr>
        <w:t>sindicatos</w:t>
      </w:r>
      <w:proofErr w:type="spellEnd"/>
      <w:r w:rsidRPr="00B55B1D">
        <w:rPr>
          <w:rFonts w:ascii="Times New Roman" w:hAnsi="Times New Roman"/>
          <w:lang w:val="en-GB"/>
        </w:rPr>
        <w:t xml:space="preserve"> became known as agrarian zones (</w:t>
      </w:r>
      <w:proofErr w:type="spellStart"/>
      <w:r w:rsidR="0091579E" w:rsidRPr="00B55B1D">
        <w:rPr>
          <w:rFonts w:ascii="Times New Roman" w:hAnsi="Times New Roman"/>
          <w:i/>
          <w:lang w:val="en-GB"/>
        </w:rPr>
        <w:t>zonas</w:t>
      </w:r>
      <w:proofErr w:type="spellEnd"/>
      <w:r w:rsidR="0091579E" w:rsidRPr="00B55B1D">
        <w:rPr>
          <w:rFonts w:ascii="Times New Roman" w:hAnsi="Times New Roman"/>
          <w:i/>
          <w:lang w:val="en-GB"/>
        </w:rPr>
        <w:t xml:space="preserve"> </w:t>
      </w:r>
      <w:proofErr w:type="spellStart"/>
      <w:r w:rsidR="0091579E" w:rsidRPr="00B55B1D">
        <w:rPr>
          <w:rFonts w:ascii="Times New Roman" w:hAnsi="Times New Roman"/>
          <w:i/>
          <w:lang w:val="en-GB"/>
        </w:rPr>
        <w:t>agrarias</w:t>
      </w:r>
      <w:proofErr w:type="spellEnd"/>
      <w:r w:rsidRPr="00B55B1D">
        <w:rPr>
          <w:rFonts w:ascii="Times New Roman" w:hAnsi="Times New Roman"/>
          <w:lang w:val="en-GB"/>
        </w:rPr>
        <w:t xml:space="preserve">) with presidents chosen by traditional village leaders to assign plots to local families. </w:t>
      </w:r>
      <w:r w:rsidR="0053455C" w:rsidRPr="00B55B1D">
        <w:rPr>
          <w:rFonts w:ascii="Times New Roman" w:hAnsi="Times New Roman"/>
          <w:lang w:val="en-GB"/>
        </w:rPr>
        <w:t>The</w:t>
      </w:r>
      <w:r w:rsidR="00163669">
        <w:rPr>
          <w:rFonts w:ascii="Times New Roman" w:hAnsi="Times New Roman"/>
          <w:lang w:val="en-GB"/>
        </w:rPr>
        <w:t>se</w:t>
      </w:r>
      <w:r w:rsidR="0053455C" w:rsidRPr="00B55B1D">
        <w:rPr>
          <w:rFonts w:ascii="Times New Roman" w:hAnsi="Times New Roman"/>
          <w:lang w:val="en-GB"/>
        </w:rPr>
        <w:t xml:space="preserve"> </w:t>
      </w:r>
      <w:r w:rsidR="00163669" w:rsidRPr="00B55B1D">
        <w:rPr>
          <w:rFonts w:ascii="Times New Roman" w:hAnsi="Times New Roman"/>
          <w:lang w:val="en-GB"/>
        </w:rPr>
        <w:t>presidents</w:t>
      </w:r>
      <w:r w:rsidR="00163669">
        <w:rPr>
          <w:rFonts w:ascii="Times New Roman" w:hAnsi="Times New Roman"/>
          <w:lang w:val="en-GB"/>
        </w:rPr>
        <w:t>’</w:t>
      </w:r>
      <w:r w:rsidR="00163669" w:rsidRPr="00B55B1D">
        <w:rPr>
          <w:rFonts w:ascii="Times New Roman" w:hAnsi="Times New Roman"/>
          <w:lang w:val="en-GB"/>
        </w:rPr>
        <w:t xml:space="preserve"> </w:t>
      </w:r>
      <w:r w:rsidR="0053455C" w:rsidRPr="00B55B1D">
        <w:rPr>
          <w:rFonts w:ascii="Times New Roman" w:hAnsi="Times New Roman"/>
          <w:lang w:val="en-GB"/>
        </w:rPr>
        <w:t xml:space="preserve">power did not extend beyond the allocation of arable land in the zone, but their decisions defined the pattern of </w:t>
      </w:r>
      <w:r w:rsidR="00B55B1D" w:rsidRPr="00B55B1D">
        <w:rPr>
          <w:rFonts w:ascii="Times New Roman" w:hAnsi="Times New Roman"/>
          <w:lang w:val="en-GB"/>
        </w:rPr>
        <w:t xml:space="preserve">land </w:t>
      </w:r>
      <w:r w:rsidR="0053455C" w:rsidRPr="00B55B1D">
        <w:rPr>
          <w:rFonts w:ascii="Times New Roman" w:hAnsi="Times New Roman"/>
          <w:lang w:val="en-GB"/>
        </w:rPr>
        <w:t xml:space="preserve">occupation and use around indigenous communities. </w:t>
      </w:r>
      <w:r w:rsidRPr="00B55B1D">
        <w:rPr>
          <w:rFonts w:ascii="Times New Roman" w:hAnsi="Times New Roman"/>
          <w:lang w:val="en-GB"/>
        </w:rPr>
        <w:t xml:space="preserve">By the early 1990s, indigenous land use was organized around 12 village level agrarian zones and </w:t>
      </w:r>
      <w:r w:rsidR="003E5D58" w:rsidRPr="00B55B1D">
        <w:rPr>
          <w:rFonts w:ascii="Times New Roman" w:hAnsi="Times New Roman"/>
          <w:lang w:val="en-GB"/>
        </w:rPr>
        <w:t>6</w:t>
      </w:r>
      <w:r w:rsidR="00E41D84" w:rsidRPr="00B55B1D">
        <w:rPr>
          <w:rFonts w:ascii="Times New Roman" w:hAnsi="Times New Roman"/>
          <w:lang w:val="en-GB"/>
        </w:rPr>
        <w:t xml:space="preserve"> larger </w:t>
      </w:r>
      <w:r w:rsidRPr="00B55B1D">
        <w:rPr>
          <w:rFonts w:ascii="Times New Roman" w:hAnsi="Times New Roman"/>
          <w:lang w:val="en-GB"/>
        </w:rPr>
        <w:t>towns with</w:t>
      </w:r>
      <w:r w:rsidR="00E41D84" w:rsidRPr="00B55B1D">
        <w:rPr>
          <w:rFonts w:ascii="Times New Roman" w:hAnsi="Times New Roman"/>
          <w:lang w:val="en-GB"/>
        </w:rPr>
        <w:t xml:space="preserve"> multiple agrarian zones grouped under</w:t>
      </w:r>
      <w:r w:rsidRPr="00B55B1D">
        <w:rPr>
          <w:rFonts w:ascii="Times New Roman" w:hAnsi="Times New Roman"/>
          <w:lang w:val="en-GB"/>
        </w:rPr>
        <w:t xml:space="preserve"> </w:t>
      </w:r>
      <w:r w:rsidR="00163669" w:rsidRPr="00B55B1D">
        <w:rPr>
          <w:rFonts w:ascii="Times New Roman" w:hAnsi="Times New Roman"/>
          <w:lang w:val="en-GB"/>
        </w:rPr>
        <w:t>umbrella organization</w:t>
      </w:r>
      <w:r w:rsidR="00163669">
        <w:rPr>
          <w:rFonts w:ascii="Times New Roman" w:hAnsi="Times New Roman"/>
          <w:lang w:val="en-GB"/>
        </w:rPr>
        <w:t>s known as</w:t>
      </w:r>
      <w:r w:rsidR="00163669" w:rsidRPr="00B55B1D">
        <w:rPr>
          <w:rFonts w:ascii="Times New Roman" w:hAnsi="Times New Roman"/>
          <w:lang w:val="en-GB"/>
        </w:rPr>
        <w:t xml:space="preserve"> </w:t>
      </w:r>
      <w:proofErr w:type="spellStart"/>
      <w:r w:rsidRPr="00B55B1D">
        <w:rPr>
          <w:rFonts w:ascii="Times New Roman" w:hAnsi="Times New Roman"/>
          <w:i/>
          <w:lang w:val="en-GB"/>
        </w:rPr>
        <w:t>centrales</w:t>
      </w:r>
      <w:proofErr w:type="spellEnd"/>
      <w:r w:rsidRPr="00B55B1D">
        <w:rPr>
          <w:rFonts w:ascii="Times New Roman" w:hAnsi="Times New Roman"/>
          <w:lang w:val="en-GB"/>
        </w:rPr>
        <w:t>.</w:t>
      </w:r>
      <w:r w:rsidR="00960AD0" w:rsidRPr="00B55B1D">
        <w:rPr>
          <w:rFonts w:ascii="Times New Roman" w:hAnsi="Times New Roman"/>
          <w:lang w:val="en-GB"/>
        </w:rPr>
        <w:t xml:space="preserve"> In both large and small settlements, communal assemblies headed </w:t>
      </w:r>
      <w:r w:rsidR="00B55B1D" w:rsidRPr="00B55B1D">
        <w:rPr>
          <w:rFonts w:ascii="Times New Roman" w:hAnsi="Times New Roman"/>
          <w:lang w:val="en-GB"/>
        </w:rPr>
        <w:t xml:space="preserve">by </w:t>
      </w:r>
      <w:r w:rsidR="00960AD0" w:rsidRPr="00B55B1D">
        <w:rPr>
          <w:rFonts w:ascii="Times New Roman" w:hAnsi="Times New Roman"/>
          <w:i/>
          <w:lang w:val="en-GB"/>
        </w:rPr>
        <w:t>ca</w:t>
      </w:r>
      <w:r w:rsidR="00B55B1D" w:rsidRPr="00B55B1D">
        <w:rPr>
          <w:rFonts w:ascii="Times New Roman" w:hAnsi="Times New Roman"/>
          <w:i/>
          <w:lang w:val="en-GB"/>
        </w:rPr>
        <w:t>c</w:t>
      </w:r>
      <w:r w:rsidR="00960AD0" w:rsidRPr="00B55B1D">
        <w:rPr>
          <w:rFonts w:ascii="Times New Roman" w:hAnsi="Times New Roman"/>
          <w:i/>
          <w:lang w:val="en-GB"/>
        </w:rPr>
        <w:t>iques</w:t>
      </w:r>
      <w:r w:rsidR="00960AD0" w:rsidRPr="00B55B1D">
        <w:rPr>
          <w:rFonts w:ascii="Times New Roman" w:hAnsi="Times New Roman"/>
          <w:lang w:val="en-GB"/>
        </w:rPr>
        <w:t xml:space="preserve"> continued to hold decision-making power and mediate disputes. These village-level organizations provide the basis for the system of indigenous political power.</w:t>
      </w:r>
    </w:p>
    <w:p w:rsidR="0053455C" w:rsidRPr="00B55B1D" w:rsidRDefault="0053455C"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w:t>
      </w:r>
      <w:r w:rsidR="00960AD0" w:rsidRPr="00B55B1D">
        <w:rPr>
          <w:rFonts w:ascii="Times New Roman" w:hAnsi="Times New Roman"/>
          <w:lang w:val="en-GB"/>
        </w:rPr>
        <w:t xml:space="preserve">property </w:t>
      </w:r>
      <w:r w:rsidRPr="00B55B1D">
        <w:rPr>
          <w:rFonts w:ascii="Times New Roman" w:hAnsi="Times New Roman"/>
          <w:lang w:val="en-GB"/>
        </w:rPr>
        <w:t xml:space="preserve">claim emerged in part due to tensions arising from competition for land, after an interdepartmental highway opened the </w:t>
      </w:r>
      <w:r w:rsidR="00960AD0" w:rsidRPr="00B55B1D">
        <w:rPr>
          <w:rFonts w:ascii="Times New Roman" w:hAnsi="Times New Roman"/>
          <w:lang w:val="en-GB"/>
        </w:rPr>
        <w:t xml:space="preserve">province </w:t>
      </w:r>
      <w:r w:rsidRPr="00B55B1D">
        <w:rPr>
          <w:rFonts w:ascii="Times New Roman" w:hAnsi="Times New Roman"/>
          <w:lang w:val="en-GB"/>
        </w:rPr>
        <w:t xml:space="preserve">to outsiders, including timber industries, ranchers, large-scale commercial farmers and smallholder colonists. Many of these actors were moving to the region for its forests and fertile soils. </w:t>
      </w:r>
      <w:r w:rsidR="00960AD0" w:rsidRPr="00B55B1D">
        <w:rPr>
          <w:rFonts w:ascii="Times New Roman" w:hAnsi="Times New Roman"/>
          <w:lang w:val="en-GB"/>
        </w:rPr>
        <w:t>As a result,</w:t>
      </w:r>
      <w:r w:rsidR="00B55B1D" w:rsidRPr="00B55B1D">
        <w:rPr>
          <w:rFonts w:ascii="Times New Roman" w:hAnsi="Times New Roman"/>
          <w:lang w:val="en-GB"/>
        </w:rPr>
        <w:t xml:space="preserve"> </w:t>
      </w:r>
      <w:r w:rsidRPr="00B55B1D">
        <w:rPr>
          <w:rFonts w:ascii="Times New Roman" w:hAnsi="Times New Roman"/>
          <w:lang w:val="en-GB"/>
        </w:rPr>
        <w:t xml:space="preserve">in 1992,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people created the Central Organization of Native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Peoples (COPNAG) to pressure </w:t>
      </w:r>
      <w:r w:rsidR="00960AD0" w:rsidRPr="00B55B1D">
        <w:rPr>
          <w:rFonts w:ascii="Times New Roman" w:hAnsi="Times New Roman"/>
          <w:lang w:val="en-GB"/>
        </w:rPr>
        <w:t xml:space="preserve">the government to acknowledge </w:t>
      </w:r>
      <w:r w:rsidRPr="00B55B1D">
        <w:rPr>
          <w:rFonts w:ascii="Times New Roman" w:hAnsi="Times New Roman"/>
          <w:lang w:val="en-GB"/>
        </w:rPr>
        <w:t xml:space="preserve">their land claims. </w:t>
      </w:r>
      <w:r w:rsidR="00960AD0" w:rsidRPr="00B55B1D">
        <w:rPr>
          <w:rFonts w:ascii="Times New Roman" w:hAnsi="Times New Roman"/>
          <w:lang w:val="en-GB"/>
        </w:rPr>
        <w:t xml:space="preserve">COPNAG’s </w:t>
      </w:r>
      <w:r w:rsidRPr="00B55B1D">
        <w:rPr>
          <w:rFonts w:ascii="Times New Roman" w:hAnsi="Times New Roman"/>
          <w:lang w:val="en-GB"/>
        </w:rPr>
        <w:t xml:space="preserve">leaders were elected by </w:t>
      </w:r>
      <w:r w:rsidR="00960AD0" w:rsidRPr="00B55B1D">
        <w:rPr>
          <w:rFonts w:ascii="Times New Roman" w:hAnsi="Times New Roman"/>
          <w:lang w:val="en-GB"/>
        </w:rPr>
        <w:t>a general assembly of</w:t>
      </w:r>
      <w:r w:rsidRPr="00B55B1D">
        <w:rPr>
          <w:rFonts w:ascii="Times New Roman" w:hAnsi="Times New Roman"/>
          <w:lang w:val="en-GB"/>
        </w:rPr>
        <w:t xml:space="preserv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w:t>
      </w:r>
      <w:r w:rsidR="00960AD0" w:rsidRPr="00B55B1D">
        <w:rPr>
          <w:rFonts w:ascii="Times New Roman" w:hAnsi="Times New Roman"/>
          <w:lang w:val="en-GB"/>
        </w:rPr>
        <w:t>people</w:t>
      </w:r>
      <w:r w:rsidR="009055A9" w:rsidRPr="00B55B1D">
        <w:rPr>
          <w:rFonts w:ascii="Times New Roman" w:hAnsi="Times New Roman"/>
          <w:lang w:val="en-GB"/>
        </w:rPr>
        <w:t xml:space="preserve"> that consisted of representatives of all</w:t>
      </w:r>
      <w:r w:rsidRPr="00B55B1D">
        <w:rPr>
          <w:rFonts w:ascii="Times New Roman" w:hAnsi="Times New Roman"/>
          <w:lang w:val="en-GB"/>
        </w:rPr>
        <w:t xml:space="preserve"> towns and </w:t>
      </w:r>
      <w:r w:rsidR="009055A9" w:rsidRPr="00B55B1D">
        <w:rPr>
          <w:rFonts w:ascii="Times New Roman" w:hAnsi="Times New Roman"/>
          <w:lang w:val="en-GB"/>
        </w:rPr>
        <w:t>villages</w:t>
      </w:r>
      <w:r w:rsidRPr="00B55B1D">
        <w:rPr>
          <w:rFonts w:ascii="Times New Roman" w:hAnsi="Times New Roman"/>
          <w:lang w:val="en-GB"/>
        </w:rPr>
        <w:t xml:space="preserve"> scattered across the province.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In 1996 COPNAG presented a TCO demand for almost 2.2 million ha, which was reduced to 1.3 million ha after the governme</w:t>
      </w:r>
      <w:r w:rsidR="007C32E7" w:rsidRPr="00B55B1D">
        <w:rPr>
          <w:rFonts w:ascii="Times New Roman" w:hAnsi="Times New Roman"/>
          <w:lang w:val="en-GB"/>
        </w:rPr>
        <w:t>nt’s spatial needs study (VAIPO</w:t>
      </w:r>
      <w:r w:rsidR="000439D1">
        <w:rPr>
          <w:rFonts w:ascii="Times New Roman" w:hAnsi="Times New Roman"/>
          <w:lang w:val="en-GB"/>
        </w:rPr>
        <w:t>,</w:t>
      </w:r>
      <w:r w:rsidRPr="00B55B1D">
        <w:rPr>
          <w:rFonts w:ascii="Times New Roman" w:hAnsi="Times New Roman"/>
          <w:lang w:val="en-GB"/>
        </w:rPr>
        <w:t xml:space="preserve"> 1999). Through a </w:t>
      </w:r>
      <w:r w:rsidR="009055A9" w:rsidRPr="00B55B1D">
        <w:rPr>
          <w:rFonts w:ascii="Times New Roman" w:hAnsi="Times New Roman"/>
          <w:lang w:val="en-GB"/>
        </w:rPr>
        <w:t xml:space="preserve">mechanism </w:t>
      </w:r>
      <w:r w:rsidRPr="00B55B1D">
        <w:rPr>
          <w:rFonts w:ascii="Times New Roman" w:hAnsi="Times New Roman"/>
          <w:lang w:val="en-GB"/>
        </w:rPr>
        <w:t xml:space="preserve">referred to as ‘immobilization,’ </w:t>
      </w:r>
      <w:r w:rsidR="009055A9" w:rsidRPr="00B55B1D">
        <w:rPr>
          <w:rFonts w:ascii="Times New Roman" w:hAnsi="Times New Roman"/>
          <w:lang w:val="en-GB"/>
        </w:rPr>
        <w:t>the government froze land transactions within the proposed TCO boundaries</w:t>
      </w:r>
      <w:r w:rsidR="00163669">
        <w:rPr>
          <w:rFonts w:ascii="Times New Roman" w:hAnsi="Times New Roman"/>
          <w:lang w:val="en-GB"/>
        </w:rPr>
        <w:t>,</w:t>
      </w:r>
      <w:r w:rsidR="009055A9" w:rsidRPr="00B55B1D">
        <w:rPr>
          <w:rFonts w:ascii="Times New Roman" w:hAnsi="Times New Roman"/>
          <w:lang w:val="en-GB"/>
        </w:rPr>
        <w:t xml:space="preserve"> and </w:t>
      </w:r>
      <w:r w:rsidRPr="00B55B1D">
        <w:rPr>
          <w:rFonts w:ascii="Times New Roman" w:hAnsi="Times New Roman"/>
          <w:lang w:val="en-GB"/>
        </w:rPr>
        <w:t xml:space="preserve">new third-party claims in the area </w:t>
      </w:r>
      <w:r w:rsidR="00B55B1D" w:rsidRPr="00B55B1D">
        <w:rPr>
          <w:rFonts w:ascii="Times New Roman" w:hAnsi="Times New Roman"/>
          <w:lang w:val="en-GB"/>
        </w:rPr>
        <w:t>we</w:t>
      </w:r>
      <w:r w:rsidR="009055A9" w:rsidRPr="00B55B1D">
        <w:rPr>
          <w:rFonts w:ascii="Times New Roman" w:hAnsi="Times New Roman"/>
          <w:lang w:val="en-GB"/>
        </w:rPr>
        <w:t xml:space="preserve">re </w:t>
      </w:r>
      <w:r w:rsidRPr="00B55B1D">
        <w:rPr>
          <w:rFonts w:ascii="Times New Roman" w:hAnsi="Times New Roman"/>
          <w:lang w:val="en-GB"/>
        </w:rPr>
        <w:t>prohibited until titling is completed. Nevertheless, grassroots confidence in the process</w:t>
      </w:r>
      <w:r w:rsidR="009055A9" w:rsidRPr="00B55B1D">
        <w:rPr>
          <w:rFonts w:ascii="Times New Roman" w:hAnsi="Times New Roman"/>
          <w:lang w:val="en-GB"/>
        </w:rPr>
        <w:t xml:space="preserve"> was undercut when</w:t>
      </w:r>
      <w:r w:rsidRPr="00B55B1D">
        <w:rPr>
          <w:rFonts w:ascii="Times New Roman" w:hAnsi="Times New Roman"/>
          <w:lang w:val="en-GB"/>
        </w:rPr>
        <w:t xml:space="preserve"> the Forest Superintendence renewed logging concessions to more than 500,000 ha, much of which was inside the area claimed</w:t>
      </w:r>
      <w:r w:rsidR="009055A9" w:rsidRPr="00B55B1D">
        <w:rPr>
          <w:rFonts w:ascii="Times New Roman" w:hAnsi="Times New Roman"/>
          <w:lang w:val="en-GB"/>
        </w:rPr>
        <w:t xml:space="preserve"> (</w:t>
      </w:r>
      <w:proofErr w:type="spellStart"/>
      <w:r w:rsidR="009055A9" w:rsidRPr="00B55B1D">
        <w:rPr>
          <w:rFonts w:ascii="Times New Roman" w:hAnsi="Times New Roman"/>
          <w:lang w:val="en-GB"/>
        </w:rPr>
        <w:t>Vallejos</w:t>
      </w:r>
      <w:proofErr w:type="spellEnd"/>
      <w:r w:rsidR="003E5D58" w:rsidRPr="00B55B1D">
        <w:rPr>
          <w:rFonts w:ascii="Times New Roman" w:hAnsi="Times New Roman"/>
          <w:lang w:val="en-GB"/>
        </w:rPr>
        <w:t>,</w:t>
      </w:r>
      <w:r w:rsidR="009055A9" w:rsidRPr="00B55B1D">
        <w:rPr>
          <w:rFonts w:ascii="Times New Roman" w:hAnsi="Times New Roman"/>
          <w:lang w:val="en-GB"/>
        </w:rPr>
        <w:t xml:space="preserve"> 1998). </w:t>
      </w:r>
      <w:r w:rsidRPr="00B55B1D">
        <w:rPr>
          <w:rFonts w:ascii="Times New Roman" w:hAnsi="Times New Roman"/>
          <w:lang w:val="en-GB"/>
        </w:rPr>
        <w:t>COPNAG protest</w:t>
      </w:r>
      <w:r w:rsidR="009055A9" w:rsidRPr="00B55B1D">
        <w:rPr>
          <w:rFonts w:ascii="Times New Roman" w:hAnsi="Times New Roman"/>
          <w:lang w:val="en-GB"/>
        </w:rPr>
        <w:t>ed</w:t>
      </w:r>
      <w:r w:rsidRPr="00B55B1D">
        <w:rPr>
          <w:rFonts w:ascii="Times New Roman" w:hAnsi="Times New Roman"/>
          <w:lang w:val="en-GB"/>
        </w:rPr>
        <w:t xml:space="preserve"> that </w:t>
      </w:r>
      <w:r w:rsidR="009055A9" w:rsidRPr="00B55B1D">
        <w:rPr>
          <w:rFonts w:ascii="Times New Roman" w:hAnsi="Times New Roman"/>
          <w:lang w:val="en-GB"/>
        </w:rPr>
        <w:t xml:space="preserve">the concessions </w:t>
      </w:r>
      <w:r w:rsidRPr="00B55B1D">
        <w:rPr>
          <w:rFonts w:ascii="Times New Roman" w:hAnsi="Times New Roman"/>
          <w:lang w:val="en-GB"/>
        </w:rPr>
        <w:t>constituted ‘new claims’</w:t>
      </w:r>
      <w:r w:rsidR="009055A9" w:rsidRPr="00B55B1D">
        <w:rPr>
          <w:rFonts w:ascii="Times New Roman" w:hAnsi="Times New Roman"/>
          <w:lang w:val="en-GB"/>
        </w:rPr>
        <w:t xml:space="preserve">, but the government </w:t>
      </w:r>
      <w:r w:rsidR="00163669">
        <w:rPr>
          <w:rFonts w:ascii="Times New Roman" w:hAnsi="Times New Roman"/>
          <w:lang w:val="en-GB"/>
        </w:rPr>
        <w:t>accepted</w:t>
      </w:r>
      <w:r w:rsidR="009055A9" w:rsidRPr="00B55B1D">
        <w:rPr>
          <w:rFonts w:ascii="Times New Roman" w:hAnsi="Times New Roman"/>
          <w:lang w:val="en-GB"/>
        </w:rPr>
        <w:t xml:space="preserve"> their previous logging permits </w:t>
      </w:r>
      <w:r w:rsidR="00163669">
        <w:rPr>
          <w:rFonts w:ascii="Times New Roman" w:hAnsi="Times New Roman"/>
          <w:lang w:val="en-GB"/>
        </w:rPr>
        <w:t>as</w:t>
      </w:r>
      <w:r w:rsidR="00B55B1D" w:rsidRPr="00B55B1D">
        <w:rPr>
          <w:rFonts w:ascii="Times New Roman" w:hAnsi="Times New Roman"/>
          <w:lang w:val="en-GB"/>
        </w:rPr>
        <w:t xml:space="preserve"> </w:t>
      </w:r>
      <w:r w:rsidR="009055A9" w:rsidRPr="00B55B1D">
        <w:rPr>
          <w:rFonts w:ascii="Times New Roman" w:hAnsi="Times New Roman"/>
          <w:lang w:val="en-GB"/>
        </w:rPr>
        <w:t>pre</w:t>
      </w:r>
      <w:r w:rsidR="00163669">
        <w:rPr>
          <w:rFonts w:ascii="Times New Roman" w:hAnsi="Times New Roman"/>
          <w:lang w:val="en-GB"/>
        </w:rPr>
        <w:t>-</w:t>
      </w:r>
      <w:r w:rsidR="009055A9" w:rsidRPr="00B55B1D">
        <w:rPr>
          <w:rFonts w:ascii="Times New Roman" w:hAnsi="Times New Roman"/>
          <w:lang w:val="en-GB"/>
        </w:rPr>
        <w:t>existing claims.</w:t>
      </w:r>
    </w:p>
    <w:p w:rsidR="00067A63" w:rsidRPr="00B55B1D" w:rsidRDefault="00067A63" w:rsidP="00067A63">
      <w:pPr>
        <w:spacing w:after="0"/>
        <w:rPr>
          <w:rFonts w:ascii="Times New Roman" w:hAnsi="Times New Roman"/>
          <w:lang w:val="en-GB"/>
        </w:rPr>
      </w:pPr>
    </w:p>
    <w:p w:rsidR="0018126B" w:rsidRPr="00B55B1D" w:rsidRDefault="0018126B" w:rsidP="00067A63">
      <w:pPr>
        <w:spacing w:after="0"/>
        <w:rPr>
          <w:rFonts w:ascii="Times New Roman" w:hAnsi="Times New Roman"/>
          <w:lang w:val="en-GB"/>
        </w:rPr>
      </w:pPr>
      <w:r w:rsidRPr="00B55B1D">
        <w:rPr>
          <w:rFonts w:ascii="Times New Roman" w:hAnsi="Times New Roman"/>
          <w:lang w:val="en-GB"/>
        </w:rPr>
        <w:t xml:space="preserve">Though it had been created primarily to pressure the government to recognize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land claim, in the titling </w:t>
      </w:r>
      <w:r w:rsidR="00067A63" w:rsidRPr="00B55B1D">
        <w:rPr>
          <w:rFonts w:ascii="Times New Roman" w:hAnsi="Times New Roman"/>
          <w:lang w:val="en-GB"/>
        </w:rPr>
        <w:t xml:space="preserve">process COPNAG was given </w:t>
      </w:r>
      <w:r w:rsidRPr="00B55B1D">
        <w:rPr>
          <w:rFonts w:ascii="Times New Roman" w:hAnsi="Times New Roman"/>
          <w:lang w:val="en-GB"/>
        </w:rPr>
        <w:t xml:space="preserve">significant </w:t>
      </w:r>
      <w:r w:rsidR="00067A63" w:rsidRPr="00B55B1D">
        <w:rPr>
          <w:rFonts w:ascii="Times New Roman" w:hAnsi="Times New Roman"/>
          <w:lang w:val="en-GB"/>
        </w:rPr>
        <w:t xml:space="preserve">power and administrative responsibilities over the territory. </w:t>
      </w:r>
      <w:r w:rsidRPr="00B55B1D">
        <w:rPr>
          <w:rFonts w:ascii="Times New Roman" w:hAnsi="Times New Roman"/>
          <w:lang w:val="en-GB"/>
        </w:rPr>
        <w:t xml:space="preserve">It </w:t>
      </w:r>
      <w:r w:rsidR="00067A63" w:rsidRPr="00B55B1D">
        <w:rPr>
          <w:rFonts w:ascii="Times New Roman" w:hAnsi="Times New Roman"/>
          <w:lang w:val="en-GB"/>
        </w:rPr>
        <w:t xml:space="preserve">was made responsible for representing </w:t>
      </w:r>
      <w:proofErr w:type="spellStart"/>
      <w:r w:rsidR="00067A63" w:rsidRPr="00B55B1D">
        <w:rPr>
          <w:rFonts w:ascii="Times New Roman" w:hAnsi="Times New Roman"/>
          <w:lang w:val="en-GB"/>
        </w:rPr>
        <w:t>Guarayo</w:t>
      </w:r>
      <w:proofErr w:type="spellEnd"/>
      <w:r w:rsidR="00067A63" w:rsidRPr="00B55B1D">
        <w:rPr>
          <w:rFonts w:ascii="Times New Roman" w:hAnsi="Times New Roman"/>
          <w:lang w:val="en-GB"/>
        </w:rPr>
        <w:t xml:space="preserve"> interests to the government, allocating resources by supporting forest management petitions of indigenous residents and certifying the authenticity of pre</w:t>
      </w:r>
      <w:r w:rsidR="00163669">
        <w:rPr>
          <w:rFonts w:ascii="Times New Roman" w:hAnsi="Times New Roman"/>
          <w:lang w:val="en-GB"/>
        </w:rPr>
        <w:t>-</w:t>
      </w:r>
      <w:r w:rsidR="00067A63" w:rsidRPr="00B55B1D">
        <w:rPr>
          <w:rFonts w:ascii="Times New Roman" w:hAnsi="Times New Roman"/>
          <w:lang w:val="en-GB"/>
        </w:rPr>
        <w:t xml:space="preserve">existing land claims by nonindigenous people. </w:t>
      </w:r>
      <w:r w:rsidRPr="00B55B1D">
        <w:rPr>
          <w:rFonts w:ascii="Times New Roman" w:hAnsi="Times New Roman"/>
          <w:lang w:val="en-GB"/>
        </w:rPr>
        <w:t xml:space="preserve">Importantly, COPNAG </w:t>
      </w:r>
      <w:r w:rsidR="00067A63" w:rsidRPr="00B55B1D">
        <w:rPr>
          <w:rFonts w:ascii="Times New Roman" w:hAnsi="Times New Roman"/>
          <w:lang w:val="en-GB"/>
        </w:rPr>
        <w:t xml:space="preserve">would hold the land title in the name of the </w:t>
      </w:r>
      <w:proofErr w:type="spellStart"/>
      <w:r w:rsidR="00067A63" w:rsidRPr="00B55B1D">
        <w:rPr>
          <w:rFonts w:ascii="Times New Roman" w:hAnsi="Times New Roman"/>
          <w:lang w:val="en-GB"/>
        </w:rPr>
        <w:t>Guarayos</w:t>
      </w:r>
      <w:proofErr w:type="spellEnd"/>
      <w:r w:rsidR="00067A63" w:rsidRPr="00B55B1D">
        <w:rPr>
          <w:rFonts w:ascii="Times New Roman" w:hAnsi="Times New Roman"/>
          <w:lang w:val="en-GB"/>
        </w:rPr>
        <w:t xml:space="preserve"> people. </w:t>
      </w:r>
    </w:p>
    <w:p w:rsidR="0018126B" w:rsidRPr="00B55B1D" w:rsidRDefault="0018126B" w:rsidP="00067A63">
      <w:pPr>
        <w:spacing w:after="0"/>
        <w:rPr>
          <w:rFonts w:ascii="Times New Roman" w:hAnsi="Times New Roman"/>
          <w:lang w:val="en-GB"/>
        </w:rPr>
      </w:pPr>
    </w:p>
    <w:p w:rsidR="00067A63" w:rsidRPr="00B55B1D" w:rsidRDefault="0018126B" w:rsidP="00067A63">
      <w:pPr>
        <w:spacing w:after="0"/>
        <w:rPr>
          <w:rFonts w:ascii="Times New Roman" w:hAnsi="Times New Roman"/>
          <w:lang w:val="en-GB"/>
        </w:rPr>
      </w:pPr>
      <w:r w:rsidRPr="00B55B1D">
        <w:rPr>
          <w:rFonts w:ascii="Times New Roman" w:hAnsi="Times New Roman"/>
          <w:lang w:val="en-GB"/>
        </w:rPr>
        <w:t xml:space="preserve">The Bolivian legislation </w:t>
      </w:r>
      <w:r w:rsidR="00163669">
        <w:rPr>
          <w:rFonts w:ascii="Times New Roman" w:hAnsi="Times New Roman"/>
          <w:lang w:val="en-GB"/>
        </w:rPr>
        <w:t>creating</w:t>
      </w:r>
      <w:r w:rsidRPr="00B55B1D">
        <w:rPr>
          <w:rFonts w:ascii="Times New Roman" w:hAnsi="Times New Roman"/>
          <w:lang w:val="en-GB"/>
        </w:rPr>
        <w:t xml:space="preserve"> TCOs stated that internal resource use and governance would take place in accordance with traditional use and practice (</w:t>
      </w:r>
      <w:proofErr w:type="spellStart"/>
      <w:r w:rsidR="0091579E" w:rsidRPr="00B55B1D">
        <w:rPr>
          <w:rFonts w:ascii="Times New Roman" w:hAnsi="Times New Roman"/>
          <w:i/>
          <w:lang w:val="en-GB"/>
        </w:rPr>
        <w:t>usos</w:t>
      </w:r>
      <w:proofErr w:type="spellEnd"/>
      <w:r w:rsidR="0091579E" w:rsidRPr="00B55B1D">
        <w:rPr>
          <w:rFonts w:ascii="Times New Roman" w:hAnsi="Times New Roman"/>
          <w:i/>
          <w:lang w:val="en-GB"/>
        </w:rPr>
        <w:t xml:space="preserve"> y </w:t>
      </w:r>
      <w:proofErr w:type="spellStart"/>
      <w:r w:rsidR="0091579E" w:rsidRPr="00B55B1D">
        <w:rPr>
          <w:rFonts w:ascii="Times New Roman" w:hAnsi="Times New Roman"/>
          <w:i/>
          <w:lang w:val="en-GB"/>
        </w:rPr>
        <w:t>c</w:t>
      </w:r>
      <w:r w:rsidR="00B55B1D">
        <w:rPr>
          <w:rFonts w:ascii="Times New Roman" w:hAnsi="Times New Roman"/>
          <w:i/>
          <w:lang w:val="en-GB"/>
        </w:rPr>
        <w:t>o</w:t>
      </w:r>
      <w:r w:rsidR="0091579E" w:rsidRPr="00B55B1D">
        <w:rPr>
          <w:rFonts w:ascii="Times New Roman" w:hAnsi="Times New Roman"/>
          <w:i/>
          <w:lang w:val="en-GB"/>
        </w:rPr>
        <w:t>stumbres</w:t>
      </w:r>
      <w:proofErr w:type="spellEnd"/>
      <w:r w:rsidRPr="00B55B1D">
        <w:rPr>
          <w:rFonts w:ascii="Times New Roman" w:hAnsi="Times New Roman"/>
          <w:lang w:val="en-GB"/>
        </w:rPr>
        <w:t xml:space="preserve">). </w:t>
      </w:r>
      <w:r w:rsidR="00847261">
        <w:rPr>
          <w:rFonts w:ascii="Times New Roman" w:hAnsi="Times New Roman"/>
          <w:lang w:val="en-GB"/>
        </w:rPr>
        <w:t>But i</w:t>
      </w:r>
      <w:r w:rsidR="0084335C" w:rsidRPr="00B55B1D">
        <w:rPr>
          <w:rFonts w:ascii="Times New Roman" w:hAnsi="Times New Roman"/>
          <w:lang w:val="en-GB"/>
        </w:rPr>
        <w:t>n fact, COPNAG</w:t>
      </w:r>
      <w:r w:rsidR="00067A63" w:rsidRPr="00B55B1D">
        <w:rPr>
          <w:rFonts w:ascii="Times New Roman" w:hAnsi="Times New Roman"/>
          <w:lang w:val="en-GB"/>
        </w:rPr>
        <w:t xml:space="preserve"> was granted a very new domain of powers as the process progressed</w:t>
      </w:r>
      <w:r w:rsidR="00847261">
        <w:rPr>
          <w:rFonts w:ascii="Times New Roman" w:hAnsi="Times New Roman"/>
          <w:lang w:val="en-GB"/>
        </w:rPr>
        <w:t xml:space="preserve"> – and </w:t>
      </w:r>
      <w:r w:rsidR="008A5436" w:rsidRPr="00B55B1D">
        <w:rPr>
          <w:rFonts w:ascii="Times New Roman" w:hAnsi="Times New Roman"/>
          <w:lang w:val="en-GB"/>
        </w:rPr>
        <w:t>with significant limitations</w:t>
      </w:r>
      <w:r w:rsidRPr="00B55B1D">
        <w:rPr>
          <w:rFonts w:ascii="Times New Roman" w:hAnsi="Times New Roman"/>
          <w:lang w:val="en-GB"/>
        </w:rPr>
        <w:t>.</w:t>
      </w:r>
      <w:r w:rsidR="008A5436" w:rsidRPr="00B55B1D">
        <w:rPr>
          <w:rFonts w:ascii="Times New Roman" w:hAnsi="Times New Roman"/>
          <w:lang w:val="en-GB"/>
        </w:rPr>
        <w:t xml:space="preserve"> </w:t>
      </w:r>
      <w:r w:rsidR="00847261">
        <w:rPr>
          <w:rFonts w:ascii="Times New Roman" w:hAnsi="Times New Roman"/>
          <w:lang w:val="en-GB"/>
        </w:rPr>
        <w:t>I</w:t>
      </w:r>
      <w:r w:rsidR="0084335C" w:rsidRPr="00B55B1D">
        <w:rPr>
          <w:rFonts w:ascii="Times New Roman" w:hAnsi="Times New Roman"/>
          <w:lang w:val="en-GB"/>
        </w:rPr>
        <w:t xml:space="preserve">t </w:t>
      </w:r>
      <w:r w:rsidR="00847261">
        <w:rPr>
          <w:rFonts w:ascii="Times New Roman" w:hAnsi="Times New Roman"/>
          <w:lang w:val="en-GB"/>
        </w:rPr>
        <w:t>was a</w:t>
      </w:r>
      <w:r w:rsidR="0084335C" w:rsidRPr="00B55B1D">
        <w:rPr>
          <w:rFonts w:ascii="Times New Roman" w:hAnsi="Times New Roman"/>
          <w:lang w:val="en-GB"/>
        </w:rPr>
        <w:t xml:space="preserve"> </w:t>
      </w:r>
      <w:r w:rsidR="00847261">
        <w:rPr>
          <w:rFonts w:ascii="Times New Roman" w:hAnsi="Times New Roman"/>
          <w:lang w:val="en-GB"/>
        </w:rPr>
        <w:t>young</w:t>
      </w:r>
      <w:r w:rsidR="0084335C" w:rsidRPr="00B55B1D">
        <w:rPr>
          <w:rFonts w:ascii="Times New Roman" w:hAnsi="Times New Roman"/>
          <w:lang w:val="en-GB"/>
        </w:rPr>
        <w:t xml:space="preserve"> organization that needed to develop </w:t>
      </w:r>
      <w:r w:rsidR="00847261">
        <w:rPr>
          <w:rFonts w:ascii="Times New Roman" w:hAnsi="Times New Roman"/>
          <w:lang w:val="en-GB"/>
        </w:rPr>
        <w:t>new</w:t>
      </w:r>
      <w:r w:rsidR="008A5436" w:rsidRPr="00B55B1D">
        <w:rPr>
          <w:rFonts w:ascii="Times New Roman" w:hAnsi="Times New Roman"/>
          <w:lang w:val="en-GB"/>
        </w:rPr>
        <w:t xml:space="preserve"> </w:t>
      </w:r>
      <w:r w:rsidR="00847261">
        <w:rPr>
          <w:rFonts w:ascii="Times New Roman" w:hAnsi="Times New Roman"/>
          <w:lang w:val="en-GB"/>
        </w:rPr>
        <w:t>capacities</w:t>
      </w:r>
      <w:r w:rsidR="0084335C" w:rsidRPr="00B55B1D">
        <w:rPr>
          <w:rFonts w:ascii="Times New Roman" w:hAnsi="Times New Roman"/>
          <w:lang w:val="en-GB"/>
        </w:rPr>
        <w:t>,</w:t>
      </w:r>
      <w:r w:rsidR="00847261">
        <w:rPr>
          <w:rFonts w:ascii="Times New Roman" w:hAnsi="Times New Roman"/>
          <w:lang w:val="en-GB"/>
        </w:rPr>
        <w:t xml:space="preserve"> while facing</w:t>
      </w:r>
      <w:r w:rsidR="0084335C" w:rsidRPr="00B55B1D">
        <w:rPr>
          <w:rFonts w:ascii="Times New Roman" w:hAnsi="Times New Roman"/>
          <w:lang w:val="en-GB"/>
        </w:rPr>
        <w:t xml:space="preserve"> major obstacles due to the </w:t>
      </w:r>
      <w:r w:rsidR="00067A63" w:rsidRPr="00B55B1D">
        <w:rPr>
          <w:rFonts w:ascii="Times New Roman" w:hAnsi="Times New Roman"/>
          <w:lang w:val="en-GB"/>
        </w:rPr>
        <w:t>characteristics of this vast</w:t>
      </w:r>
      <w:r w:rsidR="00B55B1D" w:rsidRPr="00B55B1D">
        <w:rPr>
          <w:rFonts w:ascii="Times New Roman" w:hAnsi="Times New Roman"/>
          <w:lang w:val="en-GB"/>
        </w:rPr>
        <w:t xml:space="preserve"> territory</w:t>
      </w:r>
      <w:r w:rsidR="00067A63" w:rsidRPr="00B55B1D">
        <w:rPr>
          <w:rFonts w:ascii="Times New Roman" w:hAnsi="Times New Roman"/>
          <w:lang w:val="en-GB"/>
        </w:rPr>
        <w:t>, with limited infrastructure and great distances between communities</w:t>
      </w:r>
      <w:r w:rsidR="0084335C" w:rsidRPr="00B55B1D">
        <w:rPr>
          <w:rFonts w:ascii="Times New Roman" w:hAnsi="Times New Roman"/>
          <w:lang w:val="en-GB"/>
        </w:rPr>
        <w:t>. I</w:t>
      </w:r>
      <w:r w:rsidR="00067A63" w:rsidRPr="00B55B1D">
        <w:rPr>
          <w:rFonts w:ascii="Times New Roman" w:hAnsi="Times New Roman"/>
          <w:lang w:val="en-GB"/>
        </w:rPr>
        <w:t xml:space="preserve">t </w:t>
      </w:r>
      <w:r w:rsidR="0084335C" w:rsidRPr="00B55B1D">
        <w:rPr>
          <w:rFonts w:ascii="Times New Roman" w:hAnsi="Times New Roman"/>
          <w:lang w:val="en-GB"/>
        </w:rPr>
        <w:t xml:space="preserve">was </w:t>
      </w:r>
      <w:r w:rsidR="00067A63" w:rsidRPr="00B55B1D">
        <w:rPr>
          <w:rFonts w:ascii="Times New Roman" w:hAnsi="Times New Roman"/>
          <w:lang w:val="en-GB"/>
        </w:rPr>
        <w:t>very difficult and c</w:t>
      </w:r>
      <w:r w:rsidR="00B55B1D" w:rsidRPr="00B55B1D">
        <w:rPr>
          <w:rFonts w:ascii="Times New Roman" w:hAnsi="Times New Roman"/>
          <w:lang w:val="en-GB"/>
        </w:rPr>
        <w:t>ostly to maintain communication</w:t>
      </w:r>
      <w:r w:rsidR="00067A63" w:rsidRPr="00B55B1D">
        <w:rPr>
          <w:rFonts w:ascii="Times New Roman" w:hAnsi="Times New Roman"/>
          <w:lang w:val="en-GB"/>
        </w:rPr>
        <w:t xml:space="preserve"> </w:t>
      </w:r>
      <w:r w:rsidR="00847261">
        <w:rPr>
          <w:rFonts w:ascii="Times New Roman" w:hAnsi="Times New Roman"/>
          <w:lang w:val="en-GB"/>
        </w:rPr>
        <w:t xml:space="preserve">with </w:t>
      </w:r>
      <w:r w:rsidR="00067A63" w:rsidRPr="00B55B1D">
        <w:rPr>
          <w:rFonts w:ascii="Times New Roman" w:hAnsi="Times New Roman"/>
          <w:lang w:val="en-GB"/>
        </w:rPr>
        <w:t>and accountability</w:t>
      </w:r>
      <w:r w:rsidR="0084335C" w:rsidRPr="00B55B1D">
        <w:rPr>
          <w:rFonts w:ascii="Times New Roman" w:hAnsi="Times New Roman"/>
          <w:lang w:val="en-GB"/>
        </w:rPr>
        <w:t xml:space="preserve"> to their constituents</w:t>
      </w:r>
      <w:r w:rsidR="00067A63" w:rsidRPr="00B55B1D">
        <w:rPr>
          <w:rFonts w:ascii="Times New Roman" w:hAnsi="Times New Roman"/>
          <w:lang w:val="en-GB"/>
        </w:rPr>
        <w:t xml:space="preserve">. Also, the power granted indigenous leaders over the territory is ambiguous because the </w:t>
      </w:r>
      <w:proofErr w:type="spellStart"/>
      <w:r w:rsidR="00067A63" w:rsidRPr="00B55B1D">
        <w:rPr>
          <w:rFonts w:ascii="Times New Roman" w:hAnsi="Times New Roman"/>
          <w:lang w:val="en-GB"/>
        </w:rPr>
        <w:t>Guarayos</w:t>
      </w:r>
      <w:proofErr w:type="spellEnd"/>
      <w:r w:rsidR="00067A63" w:rsidRPr="00B55B1D">
        <w:rPr>
          <w:rFonts w:ascii="Times New Roman" w:hAnsi="Times New Roman"/>
          <w:lang w:val="en-GB"/>
        </w:rPr>
        <w:t xml:space="preserve"> TCO is superimposed over three municipalities</w:t>
      </w:r>
      <w:r w:rsidR="0084335C" w:rsidRPr="00B55B1D">
        <w:rPr>
          <w:rFonts w:ascii="Times New Roman" w:hAnsi="Times New Roman"/>
          <w:lang w:val="en-GB"/>
        </w:rPr>
        <w:t>. Decentralization reform in the 1990s had given municipal governments official mandates in public administration</w:t>
      </w:r>
      <w:r w:rsidR="00067A63" w:rsidRPr="00B55B1D">
        <w:rPr>
          <w:rFonts w:ascii="Times New Roman" w:hAnsi="Times New Roman"/>
          <w:lang w:val="en-GB"/>
        </w:rPr>
        <w:t xml:space="preserve"> </w:t>
      </w:r>
      <w:r w:rsidR="0084335C" w:rsidRPr="00B55B1D">
        <w:rPr>
          <w:rFonts w:ascii="Times New Roman" w:hAnsi="Times New Roman"/>
          <w:lang w:val="en-GB"/>
        </w:rPr>
        <w:t>as well as</w:t>
      </w:r>
      <w:r w:rsidR="00067A63" w:rsidRPr="00B55B1D">
        <w:rPr>
          <w:rFonts w:ascii="Times New Roman" w:hAnsi="Times New Roman"/>
          <w:lang w:val="en-GB"/>
        </w:rPr>
        <w:t xml:space="preserve"> budgets</w:t>
      </w:r>
      <w:r w:rsidR="0084335C" w:rsidRPr="00B55B1D">
        <w:rPr>
          <w:rFonts w:ascii="Times New Roman" w:hAnsi="Times New Roman"/>
          <w:lang w:val="en-GB"/>
        </w:rPr>
        <w:t xml:space="preserve"> from public coffers to fulfil their responsibilities. </w:t>
      </w:r>
      <w:r w:rsidR="00067A63" w:rsidRPr="00B55B1D">
        <w:rPr>
          <w:rFonts w:ascii="Times New Roman" w:hAnsi="Times New Roman"/>
          <w:lang w:val="en-GB"/>
        </w:rPr>
        <w:t>COPNAG does not</w:t>
      </w:r>
      <w:r w:rsidR="0084335C" w:rsidRPr="00B55B1D">
        <w:rPr>
          <w:rFonts w:ascii="Times New Roman" w:hAnsi="Times New Roman"/>
          <w:lang w:val="en-GB"/>
        </w:rPr>
        <w:t xml:space="preserve"> have these advantages</w:t>
      </w:r>
      <w:r w:rsidR="000439D1">
        <w:rPr>
          <w:rFonts w:ascii="Times New Roman" w:hAnsi="Times New Roman"/>
          <w:lang w:val="en-GB"/>
        </w:rPr>
        <w:t xml:space="preserve"> and their authority falls</w:t>
      </w:r>
      <w:r w:rsidR="008A5436" w:rsidRPr="00B55B1D">
        <w:rPr>
          <w:rFonts w:ascii="Times New Roman" w:hAnsi="Times New Roman"/>
          <w:lang w:val="en-GB"/>
        </w:rPr>
        <w:t xml:space="preserve"> under multiple municipal governments </w:t>
      </w:r>
      <w:r w:rsidR="000439D1">
        <w:rPr>
          <w:rFonts w:ascii="Times New Roman" w:hAnsi="Times New Roman"/>
          <w:lang w:val="en-GB"/>
        </w:rPr>
        <w:t>with</w:t>
      </w:r>
      <w:r w:rsidR="008A5436" w:rsidRPr="00B55B1D">
        <w:rPr>
          <w:rFonts w:ascii="Times New Roman" w:hAnsi="Times New Roman"/>
          <w:lang w:val="en-GB"/>
        </w:rPr>
        <w:t xml:space="preserve"> competing goals.</w:t>
      </w:r>
    </w:p>
    <w:p w:rsidR="00067A63" w:rsidRPr="00B55B1D" w:rsidRDefault="00067A63" w:rsidP="00067A63">
      <w:pPr>
        <w:spacing w:after="0"/>
        <w:rPr>
          <w:rFonts w:ascii="Times New Roman" w:hAnsi="Times New Roman"/>
          <w:lang w:val="en-GB"/>
        </w:rPr>
      </w:pPr>
    </w:p>
    <w:p w:rsidR="00D7534E" w:rsidRPr="00B55B1D" w:rsidRDefault="008A5436">
      <w:pPr>
        <w:spacing w:after="0"/>
        <w:rPr>
          <w:rFonts w:ascii="Times New Roman" w:hAnsi="Times New Roman"/>
          <w:lang w:val="en-GB"/>
        </w:rPr>
      </w:pPr>
      <w:r w:rsidRPr="00B55B1D">
        <w:rPr>
          <w:rFonts w:ascii="Times New Roman" w:hAnsi="Times New Roman"/>
          <w:lang w:val="en-GB"/>
        </w:rPr>
        <w:t xml:space="preserve">COPNAG represented </w:t>
      </w:r>
      <w:proofErr w:type="spellStart"/>
      <w:r w:rsidRPr="00B55B1D">
        <w:rPr>
          <w:rFonts w:ascii="Times New Roman" w:hAnsi="Times New Roman"/>
          <w:lang w:val="en-GB"/>
        </w:rPr>
        <w:t>Guarayo</w:t>
      </w:r>
      <w:proofErr w:type="spellEnd"/>
      <w:r w:rsidRPr="00B55B1D">
        <w:rPr>
          <w:rFonts w:ascii="Times New Roman" w:hAnsi="Times New Roman"/>
          <w:lang w:val="en-GB"/>
        </w:rPr>
        <w:t xml:space="preserve"> interest</w:t>
      </w:r>
      <w:r w:rsidR="00847261">
        <w:rPr>
          <w:rFonts w:ascii="Times New Roman" w:hAnsi="Times New Roman"/>
          <w:lang w:val="en-GB"/>
        </w:rPr>
        <w:t>s</w:t>
      </w:r>
      <w:r w:rsidRPr="00B55B1D">
        <w:rPr>
          <w:rFonts w:ascii="Times New Roman" w:hAnsi="Times New Roman"/>
          <w:lang w:val="en-GB"/>
        </w:rPr>
        <w:t xml:space="preserve"> to the government while the boundaries of their TCO were defined and demarcated for titling. Demarcation involves the evaluation and ‘regularization’ of third-party claims before issuing collective titles. Legitimate claims include those with long histories in the region or those already with title. At first, d</w:t>
      </w:r>
      <w:r w:rsidR="00067A63" w:rsidRPr="00B55B1D">
        <w:rPr>
          <w:rFonts w:ascii="Times New Roman" w:hAnsi="Times New Roman"/>
          <w:lang w:val="en-GB"/>
        </w:rPr>
        <w:t>emarcation moved quickly, because the titling agency chose to start in remote areas. Hence by the end of 2003, about 1 million ha had been titled. But by late 2006 only an additional 18,000 ha had been titled</w:t>
      </w:r>
      <w:r w:rsidRPr="00B55B1D">
        <w:rPr>
          <w:rFonts w:ascii="Times New Roman" w:hAnsi="Times New Roman"/>
          <w:lang w:val="en-GB"/>
        </w:rPr>
        <w:t>.  L</w:t>
      </w:r>
      <w:r w:rsidR="00067A63" w:rsidRPr="00B55B1D">
        <w:rPr>
          <w:rFonts w:ascii="Times New Roman" w:hAnsi="Times New Roman"/>
          <w:lang w:val="en-GB"/>
        </w:rPr>
        <w:t>ittle progress had been made near the highway and main town, where most of the population is concentrated. This is also the area subject to heavy pressure from colonists, loggers and others strategically placed to take advantage of the situation to occupy land.</w:t>
      </w:r>
    </w:p>
    <w:p w:rsidR="00067A63" w:rsidRPr="00B55B1D" w:rsidRDefault="00067A63"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lang w:val="en-GB"/>
        </w:rPr>
      </w:pPr>
    </w:p>
    <w:p w:rsidR="00067A63" w:rsidRPr="00B55B1D" w:rsidRDefault="00067A63"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lang w:val="en-GB"/>
        </w:rPr>
      </w:pPr>
      <w:r w:rsidRPr="00B55B1D">
        <w:rPr>
          <w:rFonts w:ascii="Times New Roman" w:hAnsi="Times New Roman"/>
          <w:lang w:val="en-GB"/>
        </w:rPr>
        <w:t>Among other things, long delays and the</w:t>
      </w:r>
      <w:r w:rsidR="00C62BF3" w:rsidRPr="00B55B1D">
        <w:rPr>
          <w:rFonts w:ascii="Times New Roman" w:hAnsi="Times New Roman"/>
          <w:lang w:val="en-GB"/>
        </w:rPr>
        <w:t xml:space="preserve"> government</w:t>
      </w:r>
      <w:r w:rsidRPr="00B55B1D">
        <w:rPr>
          <w:rFonts w:ascii="Times New Roman" w:hAnsi="Times New Roman"/>
          <w:lang w:val="en-GB"/>
        </w:rPr>
        <w:t xml:space="preserve"> strategy to avoid conflictive areas in the early stages allowed illicit land transactions to take place</w:t>
      </w:r>
      <w:r w:rsidR="00B55B1D">
        <w:rPr>
          <w:rFonts w:ascii="Times New Roman" w:hAnsi="Times New Roman"/>
          <w:lang w:val="en-GB"/>
        </w:rPr>
        <w:t xml:space="preserve"> i</w:t>
      </w:r>
      <w:r w:rsidRPr="00B55B1D">
        <w:rPr>
          <w:rFonts w:ascii="Times New Roman" w:hAnsi="Times New Roman"/>
          <w:lang w:val="en-GB"/>
        </w:rPr>
        <w:t>n the accessible lands that were highly prized by both indigenous people and outsiders. Competing claims often involved economically and politically powerful individuals, and COPNAG leaders were implicated in providing forged certification documents for landowners (</w:t>
      </w:r>
      <w:proofErr w:type="spellStart"/>
      <w:r w:rsidRPr="00B55B1D">
        <w:rPr>
          <w:rFonts w:ascii="Times New Roman" w:hAnsi="Times New Roman"/>
          <w:lang w:val="en-GB"/>
        </w:rPr>
        <w:t>Lóp</w:t>
      </w:r>
      <w:r w:rsidR="007C32E7" w:rsidRPr="00B55B1D">
        <w:rPr>
          <w:rFonts w:ascii="Times New Roman" w:hAnsi="Times New Roman"/>
          <w:lang w:val="en-GB"/>
        </w:rPr>
        <w:t>ez</w:t>
      </w:r>
      <w:proofErr w:type="spellEnd"/>
      <w:r w:rsidR="003E5D58" w:rsidRPr="00B55B1D">
        <w:rPr>
          <w:rFonts w:ascii="Times New Roman" w:hAnsi="Times New Roman"/>
          <w:lang w:val="en-GB"/>
        </w:rPr>
        <w:t>,</w:t>
      </w:r>
      <w:r w:rsidR="007C32E7" w:rsidRPr="00B55B1D">
        <w:rPr>
          <w:rFonts w:ascii="Times New Roman" w:hAnsi="Times New Roman"/>
          <w:lang w:val="en-GB"/>
        </w:rPr>
        <w:t xml:space="preserve"> 2004</w:t>
      </w:r>
      <w:r w:rsidR="003E5D58" w:rsidRPr="00B55B1D">
        <w:rPr>
          <w:rFonts w:ascii="Times New Roman" w:hAnsi="Times New Roman"/>
          <w:lang w:val="en-GB"/>
        </w:rPr>
        <w:t>;</w:t>
      </w:r>
      <w:r w:rsidR="007C32E7" w:rsidRPr="00B55B1D">
        <w:rPr>
          <w:rFonts w:ascii="Times New Roman" w:hAnsi="Times New Roman"/>
          <w:lang w:val="en-GB"/>
        </w:rPr>
        <w:t xml:space="preserve"> Moreno</w:t>
      </w:r>
      <w:r w:rsidR="003E5D58" w:rsidRPr="00B55B1D">
        <w:rPr>
          <w:rFonts w:ascii="Times New Roman" w:hAnsi="Times New Roman"/>
          <w:lang w:val="en-GB"/>
        </w:rPr>
        <w:t>,</w:t>
      </w:r>
      <w:r w:rsidR="00847261">
        <w:rPr>
          <w:rFonts w:ascii="Times New Roman" w:hAnsi="Times New Roman"/>
          <w:lang w:val="en-GB"/>
        </w:rPr>
        <w:t xml:space="preserve"> 2006).</w:t>
      </w:r>
      <w:r w:rsidRPr="00B55B1D">
        <w:rPr>
          <w:rFonts w:ascii="Times New Roman" w:hAnsi="Times New Roman"/>
          <w:lang w:val="en-GB"/>
        </w:rPr>
        <w:t xml:space="preserve"> </w:t>
      </w:r>
      <w:r w:rsidR="00847261">
        <w:rPr>
          <w:rFonts w:ascii="Times New Roman" w:hAnsi="Times New Roman"/>
          <w:lang w:val="en-GB"/>
        </w:rPr>
        <w:t>C</w:t>
      </w:r>
      <w:r w:rsidRPr="00B55B1D">
        <w:rPr>
          <w:rFonts w:ascii="Times New Roman" w:hAnsi="Times New Roman"/>
          <w:lang w:val="en-GB"/>
        </w:rPr>
        <w:t>harges surfaced that in 2001 there had been 44 fraudulent transactions involving private landowners, COPNAG lead</w:t>
      </w:r>
      <w:r w:rsidR="007C32E7" w:rsidRPr="00B55B1D">
        <w:rPr>
          <w:rFonts w:ascii="Times New Roman" w:hAnsi="Times New Roman"/>
          <w:lang w:val="en-GB"/>
        </w:rPr>
        <w:t>ers and INRA technicians (</w:t>
      </w:r>
      <w:proofErr w:type="spellStart"/>
      <w:r w:rsidR="007C32E7" w:rsidRPr="00B55B1D">
        <w:rPr>
          <w:rFonts w:ascii="Times New Roman" w:hAnsi="Times New Roman"/>
          <w:lang w:val="en-GB"/>
        </w:rPr>
        <w:t>López</w:t>
      </w:r>
      <w:proofErr w:type="spellEnd"/>
      <w:r w:rsidR="003E5D58" w:rsidRPr="00B55B1D">
        <w:rPr>
          <w:rFonts w:ascii="Times New Roman" w:hAnsi="Times New Roman"/>
          <w:lang w:val="en-GB"/>
        </w:rPr>
        <w:t>,</w:t>
      </w:r>
      <w:r w:rsidRPr="00B55B1D">
        <w:rPr>
          <w:rFonts w:ascii="Times New Roman" w:hAnsi="Times New Roman"/>
          <w:lang w:val="en-GB"/>
        </w:rPr>
        <w:t xml:space="preserve"> 2004). </w:t>
      </w:r>
    </w:p>
    <w:p w:rsidR="00067A63" w:rsidRPr="00B55B1D" w:rsidRDefault="00067A63"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The accusations of fraud and the influence of competing interests generated turmoil in COPNAG and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political movement. In 2007 </w:t>
      </w:r>
      <w:r w:rsidR="00847261">
        <w:rPr>
          <w:rFonts w:ascii="Times New Roman" w:hAnsi="Times New Roman"/>
          <w:lang w:val="en-GB"/>
        </w:rPr>
        <w:t>several</w:t>
      </w:r>
      <w:r w:rsidR="00C62BF3" w:rsidRPr="00B55B1D">
        <w:rPr>
          <w:rFonts w:ascii="Times New Roman" w:hAnsi="Times New Roman"/>
          <w:lang w:val="en-GB"/>
        </w:rPr>
        <w:t xml:space="preserve"> COPNAG</w:t>
      </w:r>
      <w:r w:rsidRPr="00B55B1D">
        <w:rPr>
          <w:rFonts w:ascii="Times New Roman" w:hAnsi="Times New Roman"/>
          <w:lang w:val="en-GB"/>
        </w:rPr>
        <w:t xml:space="preserve"> leaders were expelled, new elections were held, and a woman was elected president. But the organization split in two</w:t>
      </w:r>
      <w:r w:rsidR="00C62BF3" w:rsidRPr="00B55B1D">
        <w:rPr>
          <w:rFonts w:ascii="Times New Roman" w:hAnsi="Times New Roman"/>
          <w:lang w:val="en-GB"/>
        </w:rPr>
        <w:t xml:space="preserve"> as t</w:t>
      </w:r>
      <w:r w:rsidRPr="00B55B1D">
        <w:rPr>
          <w:rFonts w:ascii="Times New Roman" w:hAnsi="Times New Roman"/>
          <w:lang w:val="en-GB"/>
        </w:rPr>
        <w:t xml:space="preserve">he expelled leaders formed a parallel group they called the ‘authentic’ COPNAG. Their source of legitimacy came from the Santa Cruz departmental government and the </w:t>
      </w:r>
      <w:proofErr w:type="spellStart"/>
      <w:r w:rsidRPr="00B55B1D">
        <w:rPr>
          <w:rFonts w:ascii="Times New Roman" w:hAnsi="Times New Roman"/>
          <w:i/>
          <w:lang w:val="en-GB"/>
        </w:rPr>
        <w:t>Comité</w:t>
      </w:r>
      <w:proofErr w:type="spellEnd"/>
      <w:r w:rsidRPr="00B55B1D">
        <w:rPr>
          <w:rFonts w:ascii="Times New Roman" w:hAnsi="Times New Roman"/>
          <w:i/>
          <w:lang w:val="en-GB"/>
        </w:rPr>
        <w:t xml:space="preserve"> </w:t>
      </w:r>
      <w:proofErr w:type="spellStart"/>
      <w:r w:rsidRPr="00B55B1D">
        <w:rPr>
          <w:rFonts w:ascii="Times New Roman" w:hAnsi="Times New Roman"/>
          <w:i/>
          <w:lang w:val="en-GB"/>
        </w:rPr>
        <w:t>Cívico</w:t>
      </w:r>
      <w:proofErr w:type="spellEnd"/>
      <w:r w:rsidRPr="00B55B1D">
        <w:rPr>
          <w:rFonts w:ascii="Times New Roman" w:hAnsi="Times New Roman"/>
          <w:lang w:val="en-GB"/>
        </w:rPr>
        <w:t xml:space="preserve"> of Santa Cruz, which represents the interests of the industrial timber sector; these two groups recognized them as the official representative of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TCO.</w:t>
      </w:r>
      <w:r w:rsidR="00C62BF3" w:rsidRPr="00B55B1D">
        <w:rPr>
          <w:rFonts w:ascii="Times New Roman" w:hAnsi="Times New Roman"/>
          <w:lang w:val="en-GB"/>
        </w:rPr>
        <w:t xml:space="preserve"> The splintering of COPNAG served the interests of regional elite </w:t>
      </w:r>
      <w:r w:rsidR="005E3E9C" w:rsidRPr="00B55B1D">
        <w:rPr>
          <w:rFonts w:ascii="Times New Roman" w:hAnsi="Times New Roman"/>
          <w:lang w:val="en-GB"/>
        </w:rPr>
        <w:t>in Santa Cruz</w:t>
      </w:r>
      <w:r w:rsidR="00B55B1D">
        <w:rPr>
          <w:rFonts w:ascii="Times New Roman" w:hAnsi="Times New Roman"/>
          <w:lang w:val="en-GB"/>
        </w:rPr>
        <w:t xml:space="preserve"> who were</w:t>
      </w:r>
      <w:r w:rsidR="005E3E9C" w:rsidRPr="00B55B1D">
        <w:rPr>
          <w:rFonts w:ascii="Times New Roman" w:hAnsi="Times New Roman"/>
          <w:lang w:val="en-GB"/>
        </w:rPr>
        <w:t xml:space="preserve"> </w:t>
      </w:r>
      <w:r w:rsidR="00C62BF3" w:rsidRPr="00B55B1D">
        <w:rPr>
          <w:rFonts w:ascii="Times New Roman" w:hAnsi="Times New Roman"/>
          <w:lang w:val="en-GB"/>
        </w:rPr>
        <w:t xml:space="preserve">opposed to the government of President </w:t>
      </w:r>
      <w:proofErr w:type="spellStart"/>
      <w:r w:rsidR="00C62BF3" w:rsidRPr="00B55B1D">
        <w:rPr>
          <w:rFonts w:ascii="Times New Roman" w:hAnsi="Times New Roman"/>
          <w:lang w:val="en-GB"/>
        </w:rPr>
        <w:t>Evo</w:t>
      </w:r>
      <w:proofErr w:type="spellEnd"/>
      <w:r w:rsidR="00C62BF3" w:rsidRPr="00B55B1D">
        <w:rPr>
          <w:rFonts w:ascii="Times New Roman" w:hAnsi="Times New Roman"/>
          <w:lang w:val="en-GB"/>
        </w:rPr>
        <w:t xml:space="preserve"> Morales </w:t>
      </w:r>
      <w:r w:rsidR="005E3E9C" w:rsidRPr="00B55B1D">
        <w:rPr>
          <w:rFonts w:ascii="Times New Roman" w:hAnsi="Times New Roman"/>
          <w:lang w:val="en-GB"/>
        </w:rPr>
        <w:t xml:space="preserve">and </w:t>
      </w:r>
      <w:r w:rsidR="00B55B1D">
        <w:rPr>
          <w:rFonts w:ascii="Times New Roman" w:hAnsi="Times New Roman"/>
          <w:lang w:val="en-GB"/>
        </w:rPr>
        <w:t>sought</w:t>
      </w:r>
      <w:r w:rsidR="005E3E9C" w:rsidRPr="00B55B1D">
        <w:rPr>
          <w:rFonts w:ascii="Times New Roman" w:hAnsi="Times New Roman"/>
          <w:lang w:val="en-GB"/>
        </w:rPr>
        <w:t xml:space="preserve"> to undercut his </w:t>
      </w:r>
      <w:proofErr w:type="spellStart"/>
      <w:r w:rsidR="005E3E9C" w:rsidRPr="00B55B1D">
        <w:rPr>
          <w:rFonts w:ascii="Times New Roman" w:hAnsi="Times New Roman"/>
          <w:lang w:val="en-GB"/>
        </w:rPr>
        <w:t>grassroot</w:t>
      </w:r>
      <w:proofErr w:type="spellEnd"/>
      <w:r w:rsidR="005E3E9C" w:rsidRPr="00B55B1D">
        <w:rPr>
          <w:rFonts w:ascii="Times New Roman" w:hAnsi="Times New Roman"/>
          <w:lang w:val="en-GB"/>
        </w:rPr>
        <w:t xml:space="preserve"> indigenous support. As a result, local disputes over authority </w:t>
      </w:r>
      <w:r w:rsidRPr="00B55B1D">
        <w:rPr>
          <w:rFonts w:ascii="Times New Roman" w:hAnsi="Times New Roman"/>
          <w:lang w:val="en-GB"/>
        </w:rPr>
        <w:t xml:space="preserve">divide much along the contours of the national political conflict between the central government and departmental governments.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proofErr w:type="spellStart"/>
      <w:r w:rsidRPr="00B55B1D">
        <w:rPr>
          <w:rFonts w:ascii="Times New Roman" w:hAnsi="Times New Roman"/>
          <w:b/>
          <w:lang w:val="en-GB"/>
        </w:rPr>
        <w:t>Kalahan</w:t>
      </w:r>
      <w:proofErr w:type="spellEnd"/>
      <w:r w:rsidRPr="00B55B1D">
        <w:rPr>
          <w:rFonts w:ascii="Times New Roman" w:hAnsi="Times New Roman"/>
          <w:b/>
          <w:lang w:val="en-GB"/>
        </w:rPr>
        <w:t xml:space="preserve"> Education Foundation, Philippines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first indigenous community in the Philippines to receive recognition of its forest rights was the community of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people, who obtained a 25-year agreement for the right to use, manage and exclude third parties from the </w:t>
      </w:r>
      <w:proofErr w:type="spellStart"/>
      <w:r w:rsidRPr="00B55B1D">
        <w:rPr>
          <w:rFonts w:ascii="Times New Roman" w:hAnsi="Times New Roman"/>
          <w:lang w:val="en-GB"/>
        </w:rPr>
        <w:t>Kalahan</w:t>
      </w:r>
      <w:proofErr w:type="spellEnd"/>
      <w:r w:rsidRPr="00B55B1D">
        <w:rPr>
          <w:rFonts w:ascii="Times New Roman" w:hAnsi="Times New Roman"/>
          <w:lang w:val="en-GB"/>
        </w:rPr>
        <w:t xml:space="preserve"> Forest Reserve in 1974. Prior to the agreement, the state held all formal rights to the land and forest, but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people used and managed the area according to their customary practices. It took 32 more years for the community to receive a permanent certificate of ancestral domain, in 2006. The </w:t>
      </w:r>
      <w:proofErr w:type="spellStart"/>
      <w:r w:rsidRPr="00B55B1D">
        <w:rPr>
          <w:rFonts w:ascii="Times New Roman" w:hAnsi="Times New Roman"/>
          <w:lang w:val="en-GB"/>
        </w:rPr>
        <w:t>Kalahan</w:t>
      </w:r>
      <w:proofErr w:type="spellEnd"/>
      <w:r w:rsidRPr="00B55B1D">
        <w:rPr>
          <w:rFonts w:ascii="Times New Roman" w:hAnsi="Times New Roman"/>
          <w:lang w:val="en-GB"/>
        </w:rPr>
        <w:t xml:space="preserve"> Education Foundation (KEF, </w:t>
      </w:r>
      <w:r w:rsidR="000439D1">
        <w:rPr>
          <w:rFonts w:ascii="Times New Roman" w:hAnsi="Times New Roman"/>
          <w:lang w:val="en-GB"/>
        </w:rPr>
        <w:t xml:space="preserve">a legal entity </w:t>
      </w:r>
      <w:r w:rsidRPr="00B55B1D">
        <w:rPr>
          <w:rFonts w:ascii="Times New Roman" w:hAnsi="Times New Roman"/>
          <w:lang w:val="en-GB"/>
        </w:rPr>
        <w:t xml:space="preserve">originally </w:t>
      </w:r>
      <w:r w:rsidR="000439D1">
        <w:rPr>
          <w:rFonts w:ascii="Times New Roman" w:hAnsi="Times New Roman"/>
          <w:lang w:val="en-GB"/>
        </w:rPr>
        <w:t>intended to establish a high school</w:t>
      </w:r>
      <w:r w:rsidRPr="00B55B1D">
        <w:rPr>
          <w:rFonts w:ascii="Times New Roman" w:hAnsi="Times New Roman"/>
          <w:lang w:val="en-GB"/>
        </w:rPr>
        <w:t xml:space="preserve">) is the formal representative of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or </w:t>
      </w:r>
      <w:proofErr w:type="spellStart"/>
      <w:r w:rsidRPr="00B55B1D">
        <w:rPr>
          <w:rFonts w:ascii="Times New Roman" w:hAnsi="Times New Roman"/>
          <w:lang w:val="en-GB"/>
        </w:rPr>
        <w:t>Kalanguya</w:t>
      </w:r>
      <w:proofErr w:type="spellEnd"/>
      <w:r w:rsidRPr="00B55B1D">
        <w:rPr>
          <w:rFonts w:ascii="Times New Roman" w:hAnsi="Times New Roman"/>
          <w:lang w:val="en-GB"/>
        </w:rPr>
        <w:t xml:space="preserve"> people, and the designated institution with decision-making power over land and forest management (for more information on this case, see </w:t>
      </w:r>
      <w:proofErr w:type="spellStart"/>
      <w:r w:rsidR="003E5D58" w:rsidRPr="00B55B1D">
        <w:rPr>
          <w:rFonts w:ascii="Times New Roman" w:hAnsi="Times New Roman"/>
          <w:lang w:val="en-GB"/>
        </w:rPr>
        <w:t>Dahal</w:t>
      </w:r>
      <w:proofErr w:type="spellEnd"/>
      <w:r w:rsidR="003E5D58" w:rsidRPr="00B55B1D">
        <w:rPr>
          <w:rFonts w:ascii="Times New Roman" w:hAnsi="Times New Roman"/>
          <w:lang w:val="en-GB"/>
        </w:rPr>
        <w:t xml:space="preserve"> and </w:t>
      </w:r>
      <w:proofErr w:type="spellStart"/>
      <w:r w:rsidR="003E5D58" w:rsidRPr="00B55B1D">
        <w:rPr>
          <w:rFonts w:ascii="Times New Roman" w:hAnsi="Times New Roman"/>
          <w:lang w:val="en-GB"/>
        </w:rPr>
        <w:t>Adhikari</w:t>
      </w:r>
      <w:proofErr w:type="spellEnd"/>
      <w:r w:rsidR="003E5D58" w:rsidRPr="00B55B1D">
        <w:rPr>
          <w:rFonts w:ascii="Times New Roman" w:hAnsi="Times New Roman"/>
          <w:lang w:val="en-GB"/>
        </w:rPr>
        <w:t xml:space="preserve">, 2008; </w:t>
      </w:r>
      <w:proofErr w:type="spellStart"/>
      <w:r w:rsidRPr="00B55B1D">
        <w:rPr>
          <w:rFonts w:ascii="Times New Roman" w:hAnsi="Times New Roman"/>
          <w:lang w:val="en-GB"/>
        </w:rPr>
        <w:t>Dizon</w:t>
      </w:r>
      <w:proofErr w:type="spellEnd"/>
      <w:r w:rsidRPr="00B55B1D">
        <w:rPr>
          <w:rFonts w:ascii="Times New Roman" w:hAnsi="Times New Roman"/>
          <w:lang w:val="en-GB"/>
        </w:rPr>
        <w:t xml:space="preserve"> et al.</w:t>
      </w:r>
      <w:r w:rsidR="003E5D58" w:rsidRPr="00B55B1D">
        <w:rPr>
          <w:rFonts w:ascii="Times New Roman" w:hAnsi="Times New Roman"/>
          <w:lang w:val="en-GB"/>
        </w:rPr>
        <w:t>, 2008;</w:t>
      </w:r>
      <w:r w:rsidRPr="00B55B1D">
        <w:rPr>
          <w:rFonts w:ascii="Times New Roman" w:hAnsi="Times New Roman"/>
          <w:lang w:val="en-GB"/>
        </w:rPr>
        <w:t xml:space="preserve"> Larson et al.</w:t>
      </w:r>
      <w:r w:rsidR="003E5D58" w:rsidRPr="00B55B1D">
        <w:rPr>
          <w:rFonts w:ascii="Times New Roman" w:hAnsi="Times New Roman"/>
          <w:lang w:val="en-GB"/>
        </w:rPr>
        <w:t>,</w:t>
      </w:r>
      <w:r w:rsidRPr="00B55B1D">
        <w:rPr>
          <w:rFonts w:ascii="Times New Roman" w:hAnsi="Times New Roman"/>
          <w:lang w:val="en-GB"/>
        </w:rPr>
        <w:t xml:space="preserve"> 2010c).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struggle of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people for the formal recognition of their rights began in the late 1960s in response to outside encroachment from land grabbers. In 1968, a few prominent politicians obtained title to about 200 ha of tribal lands, and in 1970, the government was planning to occupy more than 6000 ha to build a vacation resort called Marcos City. In 1972,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won a court ruling voiding the claims of these external actors but obtained no legal document securing their own rights. </w:t>
      </w:r>
      <w:r w:rsidR="005E3E9C" w:rsidRPr="00B55B1D">
        <w:rPr>
          <w:rFonts w:ascii="Times New Roman" w:hAnsi="Times New Roman"/>
          <w:lang w:val="en-GB"/>
        </w:rPr>
        <w:t>Therefore</w:t>
      </w:r>
      <w:r w:rsidRPr="00B55B1D">
        <w:rPr>
          <w:rFonts w:ascii="Times New Roman" w:hAnsi="Times New Roman"/>
          <w:lang w:val="en-GB"/>
        </w:rPr>
        <w:t xml:space="preserve">, like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people in Bolivia, they decided </w:t>
      </w:r>
      <w:r w:rsidR="00371926">
        <w:rPr>
          <w:rFonts w:ascii="Times New Roman" w:hAnsi="Times New Roman"/>
          <w:lang w:val="en-GB"/>
        </w:rPr>
        <w:t>to organize</w:t>
      </w:r>
      <w:r w:rsidRPr="00B55B1D">
        <w:rPr>
          <w:rFonts w:ascii="Times New Roman" w:hAnsi="Times New Roman"/>
          <w:lang w:val="en-GB"/>
        </w:rPr>
        <w:t xml:space="preserve"> to fight for formal recognition of their land claim. With the assistance of an American missionary who has lived in the community since 1965, Pastor Delbert Rice, t</w:t>
      </w:r>
      <w:r w:rsidR="00371926">
        <w:rPr>
          <w:rFonts w:ascii="Times New Roman" w:hAnsi="Times New Roman"/>
          <w:lang w:val="en-GB"/>
        </w:rPr>
        <w:t>he KEF became that organization</w:t>
      </w:r>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KEF obtained </w:t>
      </w:r>
      <w:r w:rsidR="00371926">
        <w:rPr>
          <w:rFonts w:ascii="Times New Roman" w:hAnsi="Times New Roman"/>
          <w:lang w:val="en-GB"/>
        </w:rPr>
        <w:t>a</w:t>
      </w:r>
      <w:r w:rsidRPr="00B55B1D">
        <w:rPr>
          <w:rFonts w:ascii="Times New Roman" w:hAnsi="Times New Roman"/>
          <w:lang w:val="en-GB"/>
        </w:rPr>
        <w:t xml:space="preserve"> 25-year Memorandum of Agreement (MOA) after two years of negotiations with the Bureau of Forest Department. Four villages were included initially; in 1982, two more were added and, later, a third. By the time the MOA had expired in 1999, the Indigenous People’s Rights Act had been passed, two years earlier. Hence rather than renewing the MOA, the KEF was issued a 5-year Certificate of Ancestral Domain Claim (CADC), and finally a Certificate of Ancestral Domain Title (CADT) in 2006. The title recognizes rights to 14,730 ha</w:t>
      </w:r>
      <w:r w:rsidR="005E3E9C" w:rsidRPr="00B55B1D">
        <w:rPr>
          <w:rFonts w:ascii="Times New Roman" w:hAnsi="Times New Roman"/>
          <w:lang w:val="en-GB"/>
        </w:rPr>
        <w:t>.  V</w:t>
      </w:r>
      <w:r w:rsidRPr="00B55B1D">
        <w:rPr>
          <w:rFonts w:ascii="Times New Roman" w:hAnsi="Times New Roman"/>
          <w:lang w:val="en-GB"/>
        </w:rPr>
        <w:t xml:space="preserve">illage elders had originally hoped to unify three provinces, for 58,000 ha, </w:t>
      </w:r>
      <w:proofErr w:type="gramStart"/>
      <w:r w:rsidRPr="00B55B1D">
        <w:rPr>
          <w:rFonts w:ascii="Times New Roman" w:hAnsi="Times New Roman"/>
          <w:lang w:val="en-GB"/>
        </w:rPr>
        <w:t>under</w:t>
      </w:r>
      <w:proofErr w:type="gramEnd"/>
      <w:r w:rsidRPr="00B55B1D">
        <w:rPr>
          <w:rFonts w:ascii="Times New Roman" w:hAnsi="Times New Roman"/>
          <w:lang w:val="en-GB"/>
        </w:rPr>
        <w:t xml:space="preserve"> one title; this was not possible due to border conflicts (</w:t>
      </w:r>
      <w:proofErr w:type="spellStart"/>
      <w:r w:rsidRPr="00B55B1D">
        <w:rPr>
          <w:rFonts w:ascii="Times New Roman" w:hAnsi="Times New Roman"/>
          <w:lang w:val="en-GB"/>
        </w:rPr>
        <w:t>Dizon</w:t>
      </w:r>
      <w:proofErr w:type="spellEnd"/>
      <w:r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The KEF now has about 500 member households in seven communities (</w:t>
      </w:r>
      <w:r w:rsidRPr="00B55B1D">
        <w:rPr>
          <w:rFonts w:ascii="Times New Roman" w:hAnsi="Times New Roman"/>
          <w:i/>
          <w:lang w:val="en-GB"/>
        </w:rPr>
        <w:t>barangays</w:t>
      </w:r>
      <w:r w:rsidRPr="00B55B1D">
        <w:rPr>
          <w:rFonts w:ascii="Times New Roman" w:hAnsi="Times New Roman"/>
          <w:lang w:val="en-GB"/>
        </w:rPr>
        <w:t>, the smallest units of political administration). More than 90</w:t>
      </w:r>
      <w:r w:rsidR="003E5D58" w:rsidRPr="00B55B1D">
        <w:rPr>
          <w:rFonts w:ascii="Times New Roman" w:hAnsi="Times New Roman"/>
          <w:lang w:val="en-GB"/>
        </w:rPr>
        <w:t xml:space="preserve"> per cent</w:t>
      </w:r>
      <w:r w:rsidRPr="00B55B1D">
        <w:rPr>
          <w:rFonts w:ascii="Times New Roman" w:hAnsi="Times New Roman"/>
          <w:lang w:val="en-GB"/>
        </w:rPr>
        <w:t xml:space="preserve"> of the people living in the reserve are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and all </w:t>
      </w:r>
      <w:proofErr w:type="spellStart"/>
      <w:r w:rsidRPr="00B55B1D">
        <w:rPr>
          <w:rFonts w:ascii="Times New Roman" w:hAnsi="Times New Roman"/>
          <w:lang w:val="en-GB"/>
        </w:rPr>
        <w:t>Ikalahans</w:t>
      </w:r>
      <w:proofErr w:type="spellEnd"/>
      <w:r w:rsidRPr="00B55B1D">
        <w:rPr>
          <w:rFonts w:ascii="Times New Roman" w:hAnsi="Times New Roman"/>
          <w:lang w:val="en-GB"/>
        </w:rPr>
        <w:t xml:space="preserve"> are automatically KEF members. In each village, the adults in each </w:t>
      </w:r>
      <w:r w:rsidRPr="00B55B1D">
        <w:rPr>
          <w:rFonts w:ascii="Times New Roman" w:hAnsi="Times New Roman"/>
          <w:i/>
          <w:lang w:val="en-GB"/>
        </w:rPr>
        <w:t>barangay</w:t>
      </w:r>
      <w:r w:rsidRPr="00B55B1D">
        <w:rPr>
          <w:rFonts w:ascii="Times New Roman" w:hAnsi="Times New Roman"/>
          <w:lang w:val="en-GB"/>
        </w:rPr>
        <w:t xml:space="preserve"> constitute the Barangay Assembly and are all voting members. Each </w:t>
      </w:r>
      <w:r w:rsidRPr="00B55B1D">
        <w:rPr>
          <w:rFonts w:ascii="Times New Roman" w:hAnsi="Times New Roman"/>
          <w:i/>
          <w:lang w:val="en-GB"/>
        </w:rPr>
        <w:t>barangay</w:t>
      </w:r>
      <w:r w:rsidRPr="00B55B1D">
        <w:rPr>
          <w:rFonts w:ascii="Times New Roman" w:hAnsi="Times New Roman"/>
          <w:lang w:val="en-GB"/>
        </w:rPr>
        <w:t xml:space="preserve"> has elected local government officials (the </w:t>
      </w:r>
      <w:r w:rsidRPr="00B55B1D">
        <w:rPr>
          <w:rFonts w:ascii="Times New Roman" w:hAnsi="Times New Roman"/>
          <w:i/>
          <w:lang w:val="en-GB"/>
        </w:rPr>
        <w:t>barangay</w:t>
      </w:r>
      <w:r w:rsidRPr="00B55B1D">
        <w:rPr>
          <w:rFonts w:ascii="Times New Roman" w:hAnsi="Times New Roman"/>
          <w:lang w:val="en-GB"/>
        </w:rPr>
        <w:t xml:space="preserve"> council), tribal elders (almost always men) and informal tribal leaders. According to Rice (2001), elders hold office by ascription and are people recognized as effective at providing leadership and resolving disputes, but they do not represent </w:t>
      </w:r>
      <w:r w:rsidR="000439D1" w:rsidRPr="00B55B1D">
        <w:rPr>
          <w:rFonts w:ascii="Times New Roman" w:hAnsi="Times New Roman"/>
          <w:lang w:val="en-GB"/>
        </w:rPr>
        <w:t xml:space="preserve">or make decisions </w:t>
      </w:r>
      <w:r w:rsidRPr="00B55B1D">
        <w:rPr>
          <w:rFonts w:ascii="Times New Roman" w:hAnsi="Times New Roman"/>
          <w:lang w:val="en-GB"/>
        </w:rPr>
        <w:t xml:space="preserve">for the community. The most important institution is the </w:t>
      </w:r>
      <w:proofErr w:type="spellStart"/>
      <w:r w:rsidRPr="00B55B1D">
        <w:rPr>
          <w:rFonts w:ascii="Times New Roman" w:hAnsi="Times New Roman"/>
          <w:lang w:val="en-GB"/>
        </w:rPr>
        <w:t>Tongtongan</w:t>
      </w:r>
      <w:proofErr w:type="spellEnd"/>
      <w:r w:rsidRPr="00B55B1D">
        <w:rPr>
          <w:rFonts w:ascii="Times New Roman" w:hAnsi="Times New Roman"/>
          <w:lang w:val="en-GB"/>
        </w:rPr>
        <w:t xml:space="preserve">. The </w:t>
      </w:r>
      <w:proofErr w:type="spellStart"/>
      <w:r w:rsidRPr="00B55B1D">
        <w:rPr>
          <w:rFonts w:ascii="Times New Roman" w:hAnsi="Times New Roman"/>
          <w:lang w:val="en-GB"/>
        </w:rPr>
        <w:t>Tongtongan</w:t>
      </w:r>
      <w:proofErr w:type="spellEnd"/>
      <w:r w:rsidRPr="00B55B1D">
        <w:rPr>
          <w:rFonts w:ascii="Times New Roman" w:hAnsi="Times New Roman"/>
          <w:lang w:val="en-GB"/>
        </w:rPr>
        <w:t xml:space="preserve"> functions like a tribal court, presided over by local elders, whereby </w:t>
      </w:r>
      <w:r w:rsidR="000439D1">
        <w:rPr>
          <w:rFonts w:ascii="Times New Roman" w:hAnsi="Times New Roman"/>
          <w:lang w:val="en-GB"/>
        </w:rPr>
        <w:t>people come</w:t>
      </w:r>
      <w:r w:rsidRPr="00B55B1D">
        <w:rPr>
          <w:rFonts w:ascii="Times New Roman" w:hAnsi="Times New Roman"/>
          <w:lang w:val="en-GB"/>
        </w:rPr>
        <w:t xml:space="preserve"> together to discuss a conflict or problem; the elders make the final judgment, aimed at reconc</w:t>
      </w:r>
      <w:r w:rsidR="007C32E7" w:rsidRPr="00B55B1D">
        <w:rPr>
          <w:rFonts w:ascii="Times New Roman" w:hAnsi="Times New Roman"/>
          <w:lang w:val="en-GB"/>
        </w:rPr>
        <w:t>iliation (Rice</w:t>
      </w:r>
      <w:r w:rsidR="003E5D58" w:rsidRPr="00B55B1D">
        <w:rPr>
          <w:rFonts w:ascii="Times New Roman" w:hAnsi="Times New Roman"/>
          <w:lang w:val="en-GB"/>
        </w:rPr>
        <w:t>,</w:t>
      </w:r>
      <w:r w:rsidRPr="00B55B1D">
        <w:rPr>
          <w:rFonts w:ascii="Times New Roman" w:hAnsi="Times New Roman"/>
          <w:lang w:val="en-GB"/>
        </w:rPr>
        <w:t xml:space="preserve"> 1994).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KEF was formed by a group of elders, and its first board of trustees was made up of one representative from each of the participating </w:t>
      </w:r>
      <w:r w:rsidRPr="00B55B1D">
        <w:rPr>
          <w:rFonts w:ascii="Times New Roman" w:hAnsi="Times New Roman"/>
          <w:i/>
          <w:lang w:val="en-GB"/>
        </w:rPr>
        <w:t>barangays</w:t>
      </w:r>
      <w:r w:rsidRPr="00B55B1D">
        <w:rPr>
          <w:rFonts w:ascii="Times New Roman" w:hAnsi="Times New Roman"/>
          <w:lang w:val="en-GB"/>
        </w:rPr>
        <w:t xml:space="preserve">, plus three others (an additional representative from the most populous community, a youth representative and a non-voting representative of the </w:t>
      </w:r>
      <w:r w:rsidRPr="00B55B1D">
        <w:rPr>
          <w:rFonts w:ascii="Times New Roman" w:hAnsi="Times New Roman"/>
          <w:i/>
          <w:lang w:val="en-GB"/>
        </w:rPr>
        <w:t>barangay</w:t>
      </w:r>
      <w:r w:rsidRPr="00B55B1D">
        <w:rPr>
          <w:rFonts w:ascii="Times New Roman" w:hAnsi="Times New Roman"/>
          <w:lang w:val="en-GB"/>
        </w:rPr>
        <w:t xml:space="preserve"> local government offices). </w:t>
      </w:r>
      <w:r w:rsidR="00700225" w:rsidRPr="00B55B1D">
        <w:rPr>
          <w:rFonts w:ascii="Times New Roman" w:hAnsi="Times New Roman"/>
          <w:lang w:val="en-GB"/>
        </w:rPr>
        <w:t xml:space="preserve">General assembly </w:t>
      </w:r>
      <w:r w:rsidR="00700225">
        <w:rPr>
          <w:rFonts w:ascii="Times New Roman" w:hAnsi="Times New Roman"/>
          <w:lang w:val="en-GB"/>
        </w:rPr>
        <w:t>meetings are held twice a year</w:t>
      </w:r>
      <w:r w:rsidR="00700225" w:rsidRPr="00B55B1D">
        <w:rPr>
          <w:rFonts w:ascii="Times New Roman" w:hAnsi="Times New Roman"/>
          <w:lang w:val="en-GB"/>
        </w:rPr>
        <w:t xml:space="preserve">. </w:t>
      </w:r>
      <w:r w:rsidRPr="00B55B1D">
        <w:rPr>
          <w:rFonts w:ascii="Times New Roman" w:hAnsi="Times New Roman"/>
          <w:lang w:val="en-GB"/>
        </w:rPr>
        <w:t>Today, there are 15 voting members</w:t>
      </w:r>
      <w:r w:rsidR="00371926">
        <w:rPr>
          <w:rFonts w:ascii="Times New Roman" w:hAnsi="Times New Roman"/>
          <w:lang w:val="en-GB"/>
        </w:rPr>
        <w:t xml:space="preserve"> and </w:t>
      </w:r>
      <w:r w:rsidRPr="00B55B1D">
        <w:rPr>
          <w:rFonts w:ascii="Times New Roman" w:hAnsi="Times New Roman"/>
          <w:lang w:val="en-GB"/>
        </w:rPr>
        <w:t xml:space="preserve">representatives </w:t>
      </w:r>
      <w:r w:rsidR="00700225">
        <w:rPr>
          <w:rFonts w:ascii="Times New Roman" w:hAnsi="Times New Roman"/>
          <w:lang w:val="en-GB"/>
        </w:rPr>
        <w:t>serve</w:t>
      </w:r>
      <w:r w:rsidRPr="00B55B1D">
        <w:rPr>
          <w:rFonts w:ascii="Times New Roman" w:hAnsi="Times New Roman"/>
          <w:lang w:val="en-GB"/>
        </w:rPr>
        <w:t xml:space="preserve"> two-year terms</w:t>
      </w:r>
      <w:r w:rsidR="00371926">
        <w:rPr>
          <w:rFonts w:ascii="Times New Roman" w:hAnsi="Times New Roman"/>
          <w:lang w:val="en-GB"/>
        </w:rPr>
        <w:t>.</w:t>
      </w:r>
      <w:r w:rsidRPr="00B55B1D">
        <w:rPr>
          <w:rFonts w:ascii="Times New Roman" w:hAnsi="Times New Roman"/>
          <w:lang w:val="en-GB"/>
        </w:rPr>
        <w:t xml:space="preserve"> The KEF </w:t>
      </w:r>
      <w:r w:rsidR="00700225">
        <w:rPr>
          <w:rFonts w:ascii="Times New Roman" w:hAnsi="Times New Roman"/>
          <w:lang w:val="en-GB"/>
        </w:rPr>
        <w:t>establishes and enforces</w:t>
      </w:r>
      <w:r w:rsidRPr="00B55B1D">
        <w:rPr>
          <w:rFonts w:ascii="Times New Roman" w:hAnsi="Times New Roman"/>
          <w:lang w:val="en-GB"/>
        </w:rPr>
        <w:t xml:space="preserve"> rules and regulations for the reserve. </w:t>
      </w:r>
      <w:r w:rsidR="00700225">
        <w:rPr>
          <w:rFonts w:ascii="Times New Roman" w:hAnsi="Times New Roman"/>
          <w:lang w:val="en-GB"/>
        </w:rPr>
        <w:t>These</w:t>
      </w:r>
      <w:r w:rsidRPr="00B55B1D">
        <w:rPr>
          <w:rFonts w:ascii="Times New Roman" w:hAnsi="Times New Roman"/>
          <w:lang w:val="en-GB"/>
        </w:rPr>
        <w:t xml:space="preserve"> include regulations regarding </w:t>
      </w:r>
      <w:proofErr w:type="spellStart"/>
      <w:r w:rsidRPr="00B55B1D">
        <w:rPr>
          <w:rFonts w:ascii="Times New Roman" w:hAnsi="Times New Roman"/>
          <w:lang w:val="en-GB"/>
        </w:rPr>
        <w:t>swidden</w:t>
      </w:r>
      <w:proofErr w:type="spellEnd"/>
      <w:r w:rsidRPr="00B55B1D">
        <w:rPr>
          <w:rFonts w:ascii="Times New Roman" w:hAnsi="Times New Roman"/>
          <w:lang w:val="en-GB"/>
        </w:rPr>
        <w:t xml:space="preserve"> farming, tree cutting, chainsaw registration, fishing, quarrying, hunting and land claims. They include permanent or temporary bans on the use of certain timber or non-timber species, as well as penalties for violations. The KEF approves the allocation of all household parcels by issuing certificates of stewardship signed by the farmer and the board of trustees. The board must also approve land transfers among tribal members. Land clearance and tree cutting require permits from the KEF’s agroforestry office. </w:t>
      </w:r>
      <w:r w:rsidR="00700225">
        <w:rPr>
          <w:rFonts w:ascii="Times New Roman" w:hAnsi="Times New Roman"/>
          <w:lang w:val="en-GB"/>
        </w:rPr>
        <w:t>S</w:t>
      </w:r>
      <w:r w:rsidRPr="00B55B1D">
        <w:rPr>
          <w:rFonts w:ascii="Times New Roman" w:hAnsi="Times New Roman"/>
          <w:lang w:val="en-GB"/>
        </w:rPr>
        <w:t>ales of timber are prohibited.</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r w:rsidRPr="00B55B1D">
        <w:rPr>
          <w:rFonts w:ascii="Times New Roman" w:hAnsi="Times New Roman"/>
          <w:lang w:val="en-GB"/>
        </w:rPr>
        <w:t xml:space="preserve">The relationship between the KEF and </w:t>
      </w:r>
      <w:r w:rsidRPr="00B55B1D">
        <w:rPr>
          <w:rFonts w:ascii="Times New Roman" w:hAnsi="Times New Roman"/>
          <w:i/>
          <w:lang w:val="en-GB"/>
        </w:rPr>
        <w:t>barangay</w:t>
      </w:r>
      <w:r w:rsidRPr="00B55B1D">
        <w:rPr>
          <w:rFonts w:ascii="Times New Roman" w:hAnsi="Times New Roman"/>
          <w:lang w:val="en-GB"/>
        </w:rPr>
        <w:t xml:space="preserve"> governments is based on trust and mutual cooperation, including shared revenue from timber permits </w:t>
      </w:r>
      <w:r w:rsidR="0075538E" w:rsidRPr="00B55B1D">
        <w:rPr>
          <w:rFonts w:ascii="Times New Roman" w:hAnsi="Times New Roman"/>
          <w:lang w:val="en-GB"/>
        </w:rPr>
        <w:t>(</w:t>
      </w:r>
      <w:proofErr w:type="spellStart"/>
      <w:r w:rsidRPr="00B55B1D">
        <w:rPr>
          <w:rFonts w:ascii="Times New Roman" w:hAnsi="Times New Roman"/>
          <w:lang w:val="en-GB"/>
        </w:rPr>
        <w:t>Dahal</w:t>
      </w:r>
      <w:proofErr w:type="spellEnd"/>
      <w:r w:rsidRPr="00B55B1D">
        <w:rPr>
          <w:rFonts w:ascii="Times New Roman" w:hAnsi="Times New Roman"/>
          <w:lang w:val="en-GB"/>
        </w:rPr>
        <w:t xml:space="preserve"> and </w:t>
      </w:r>
      <w:proofErr w:type="spellStart"/>
      <w:r w:rsidRPr="00B55B1D">
        <w:rPr>
          <w:rFonts w:ascii="Times New Roman" w:hAnsi="Times New Roman"/>
          <w:lang w:val="en-GB"/>
        </w:rPr>
        <w:t>Adhikari</w:t>
      </w:r>
      <w:proofErr w:type="spellEnd"/>
      <w:r w:rsidR="003E5D58" w:rsidRPr="00B55B1D">
        <w:rPr>
          <w:rFonts w:ascii="Times New Roman" w:hAnsi="Times New Roman"/>
          <w:lang w:val="en-GB"/>
        </w:rPr>
        <w:t>,</w:t>
      </w:r>
      <w:r w:rsidRPr="00B55B1D">
        <w:rPr>
          <w:rFonts w:ascii="Times New Roman" w:hAnsi="Times New Roman"/>
          <w:lang w:val="en-GB"/>
        </w:rPr>
        <w:t xml:space="preserve"> 2008). Community members largely respect the rules, which were presented and discussed in each </w:t>
      </w:r>
      <w:r w:rsidRPr="00B55B1D">
        <w:rPr>
          <w:rFonts w:ascii="Times New Roman" w:hAnsi="Times New Roman"/>
          <w:i/>
          <w:lang w:val="en-GB"/>
        </w:rPr>
        <w:t>barangay</w:t>
      </w:r>
      <w:r w:rsidRPr="00B55B1D">
        <w:rPr>
          <w:rFonts w:ascii="Times New Roman" w:hAnsi="Times New Roman"/>
          <w:lang w:val="en-GB"/>
        </w:rPr>
        <w:t xml:space="preserve"> before final approval by the board of trustees. The regular general assembly meetings are open to all, and when important issues </w:t>
      </w:r>
      <w:r w:rsidR="00700225">
        <w:rPr>
          <w:rFonts w:ascii="Times New Roman" w:hAnsi="Times New Roman"/>
          <w:lang w:val="en-GB"/>
        </w:rPr>
        <w:t>are</w:t>
      </w:r>
      <w:r w:rsidRPr="00B55B1D">
        <w:rPr>
          <w:rFonts w:ascii="Times New Roman" w:hAnsi="Times New Roman"/>
          <w:lang w:val="en-GB"/>
        </w:rPr>
        <w:t xml:space="preserve"> discussed, attendance and part</w:t>
      </w:r>
      <w:r w:rsidR="007C32E7" w:rsidRPr="00B55B1D">
        <w:rPr>
          <w:rFonts w:ascii="Times New Roman" w:hAnsi="Times New Roman"/>
          <w:lang w:val="en-GB"/>
        </w:rPr>
        <w:t>icipation are high (</w:t>
      </w:r>
      <w:proofErr w:type="spellStart"/>
      <w:r w:rsidR="007C32E7" w:rsidRPr="00B55B1D">
        <w:rPr>
          <w:rFonts w:ascii="Times New Roman" w:hAnsi="Times New Roman"/>
          <w:lang w:val="en-GB"/>
        </w:rPr>
        <w:t>Dizon</w:t>
      </w:r>
      <w:proofErr w:type="spellEnd"/>
      <w:r w:rsidR="007C32E7" w:rsidRPr="00B55B1D">
        <w:rPr>
          <w:rFonts w:ascii="Times New Roman" w:hAnsi="Times New Roman"/>
          <w:lang w:val="en-GB"/>
        </w:rPr>
        <w:t xml:space="preserve"> et al.</w:t>
      </w:r>
      <w:r w:rsidR="003E5D58" w:rsidRPr="00B55B1D">
        <w:rPr>
          <w:rFonts w:ascii="Times New Roman" w:hAnsi="Times New Roman"/>
          <w:lang w:val="en-GB"/>
        </w:rPr>
        <w:t>,</w:t>
      </w:r>
      <w:r w:rsidRPr="00B55B1D">
        <w:rPr>
          <w:rFonts w:ascii="Times New Roman" w:hAnsi="Times New Roman"/>
          <w:lang w:val="en-GB"/>
        </w:rPr>
        <w:t xml:space="preserve"> 2008). The </w:t>
      </w:r>
      <w:proofErr w:type="spellStart"/>
      <w:r w:rsidRPr="00B55B1D">
        <w:rPr>
          <w:rFonts w:ascii="Times New Roman" w:hAnsi="Times New Roman"/>
          <w:lang w:val="en-GB"/>
        </w:rPr>
        <w:t>Tongtongan</w:t>
      </w:r>
      <w:proofErr w:type="spellEnd"/>
      <w:r w:rsidRPr="00B55B1D">
        <w:rPr>
          <w:rFonts w:ascii="Times New Roman" w:hAnsi="Times New Roman"/>
          <w:lang w:val="en-GB"/>
        </w:rPr>
        <w:t xml:space="preserve"> continues to be an important institution for problem solving and collective </w:t>
      </w:r>
      <w:proofErr w:type="gramStart"/>
      <w:r w:rsidRPr="00B55B1D">
        <w:rPr>
          <w:rFonts w:ascii="Times New Roman" w:hAnsi="Times New Roman"/>
          <w:lang w:val="en-GB"/>
        </w:rPr>
        <w:t>decision making</w:t>
      </w:r>
      <w:proofErr w:type="gramEnd"/>
      <w:r w:rsidRPr="00B55B1D">
        <w:rPr>
          <w:rFonts w:ascii="Times New Roman" w:hAnsi="Times New Roman"/>
          <w:lang w:val="en-GB"/>
        </w:rPr>
        <w:t xml:space="preserve"> and works hand in hand with the KEF governance system. Honesty, equity and fairness are explicitly promoted. Notably, in one case, the chair of the board was implicated in illegal harvesting and transport of timber from the forest, and he wa</w:t>
      </w:r>
      <w:r w:rsidR="007C32E7" w:rsidRPr="00B55B1D">
        <w:rPr>
          <w:rFonts w:ascii="Times New Roman" w:hAnsi="Times New Roman"/>
          <w:lang w:val="en-GB"/>
        </w:rPr>
        <w:t>s penalized (</w:t>
      </w:r>
      <w:proofErr w:type="spellStart"/>
      <w:r w:rsidR="007C32E7" w:rsidRPr="00B55B1D">
        <w:rPr>
          <w:rFonts w:ascii="Times New Roman" w:hAnsi="Times New Roman"/>
          <w:lang w:val="en-GB"/>
        </w:rPr>
        <w:t>Dahal</w:t>
      </w:r>
      <w:proofErr w:type="spellEnd"/>
      <w:r w:rsidR="007C32E7" w:rsidRPr="00B55B1D">
        <w:rPr>
          <w:rFonts w:ascii="Times New Roman" w:hAnsi="Times New Roman"/>
          <w:lang w:val="en-GB"/>
        </w:rPr>
        <w:t xml:space="preserve"> and </w:t>
      </w:r>
      <w:proofErr w:type="spellStart"/>
      <w:r w:rsidR="007C32E7" w:rsidRPr="00B55B1D">
        <w:rPr>
          <w:rFonts w:ascii="Times New Roman" w:hAnsi="Times New Roman"/>
          <w:lang w:val="en-GB"/>
        </w:rPr>
        <w:t>Adhikari</w:t>
      </w:r>
      <w:proofErr w:type="spellEnd"/>
      <w:r w:rsidR="003E5D58" w:rsidRPr="00B55B1D">
        <w:rPr>
          <w:rFonts w:ascii="Times New Roman" w:hAnsi="Times New Roman"/>
          <w:lang w:val="en-GB"/>
        </w:rPr>
        <w:t>,</w:t>
      </w:r>
      <w:r w:rsidRPr="00B55B1D">
        <w:rPr>
          <w:rFonts w:ascii="Times New Roman" w:hAnsi="Times New Roman"/>
          <w:lang w:val="en-GB"/>
        </w:rPr>
        <w:t xml:space="preserve"> 2008). A third-party financial audit is conducted every year. Pastor Rice, who played an important role in building social capital and encouraging fair internal management, serves as executive director of the KEF and helps mediate relationships between the community and external actors, such as the government, donor agencies and NGOs. All of these factors have granted the KEF substantial internal and external legitimacy.</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ind w:firstLine="720"/>
        <w:rPr>
          <w:rFonts w:ascii="Times New Roman" w:hAnsi="Times New Roman"/>
          <w:b/>
          <w:lang w:val="en-GB"/>
        </w:rPr>
      </w:pPr>
    </w:p>
    <w:p w:rsidR="00067A63" w:rsidRPr="00B55B1D" w:rsidRDefault="00EC1BE5" w:rsidP="00067A63">
      <w:pPr>
        <w:spacing w:after="0"/>
        <w:rPr>
          <w:rFonts w:ascii="Times New Roman" w:hAnsi="Times New Roman"/>
          <w:b/>
          <w:lang w:val="en-GB"/>
        </w:rPr>
      </w:pPr>
      <w:r w:rsidRPr="00B55B1D">
        <w:rPr>
          <w:rFonts w:ascii="Times New Roman" w:hAnsi="Times New Roman"/>
          <w:b/>
          <w:lang w:val="en-GB"/>
        </w:rPr>
        <w:t>LESSONS ON AUTHORITY IN THE RECOGNITION OF INDIGENOUS RIGHTS</w:t>
      </w: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cases present different ways in which authority relations have played out in three </w:t>
      </w:r>
      <w:r w:rsidR="0075538E" w:rsidRPr="00B55B1D">
        <w:rPr>
          <w:rFonts w:ascii="Times New Roman" w:hAnsi="Times New Roman"/>
          <w:lang w:val="en-GB"/>
        </w:rPr>
        <w:t xml:space="preserve">distinct </w:t>
      </w:r>
      <w:r w:rsidRPr="00B55B1D">
        <w:rPr>
          <w:rFonts w:ascii="Times New Roman" w:hAnsi="Times New Roman"/>
          <w:lang w:val="en-GB"/>
        </w:rPr>
        <w:t>contexts of rights recognition in indigenous or ancestral lands. Though many of the issues vary, there are a number of common threads. Most importantly for this article, all the cases involve the forging of a new ‘authority’ at a scale associated with the multi-community territory being recognized and titled. This section briefly summarizes the central issues associated with authority relations in each case then examines two issues more closely: the roots of conflict and the roots of legitimacy.</w:t>
      </w:r>
    </w:p>
    <w:p w:rsidR="00067A63" w:rsidRPr="00B55B1D" w:rsidRDefault="00067A63" w:rsidP="00067A63">
      <w:pPr>
        <w:spacing w:after="0"/>
        <w:rPr>
          <w:rFonts w:ascii="Times New Roman" w:hAnsi="Times New Roman"/>
          <w:lang w:val="en-GB"/>
        </w:rPr>
      </w:pPr>
    </w:p>
    <w:p w:rsidR="00561E59" w:rsidRPr="00B55B1D" w:rsidRDefault="0091579E" w:rsidP="00561E59">
      <w:pPr>
        <w:spacing w:after="0"/>
        <w:rPr>
          <w:rFonts w:ascii="Times New Roman" w:hAnsi="Times New Roman"/>
          <w:lang w:val="en-GB"/>
        </w:rPr>
      </w:pPr>
      <w:r w:rsidRPr="00B55B1D">
        <w:rPr>
          <w:rFonts w:ascii="Times New Roman" w:hAnsi="Times New Roman"/>
          <w:lang w:val="en-GB"/>
        </w:rPr>
        <w:t xml:space="preserve">The Nicaraguan case demonstrates how property borders became the negotiating ground in a larger battle between indigenous leaders and the state for legitimate power over the region. This issue has shaped the nature of representation. That is, the member communities should elect the legal representative of their territory, but in practice regional government authorities have refused to recognize these leaders, in part because they have </w:t>
      </w:r>
      <w:r w:rsidR="0075538E" w:rsidRPr="00B55B1D">
        <w:rPr>
          <w:rFonts w:ascii="Times New Roman" w:hAnsi="Times New Roman"/>
          <w:lang w:val="en-GB"/>
        </w:rPr>
        <w:t>resisted</w:t>
      </w:r>
      <w:r w:rsidRPr="00B55B1D">
        <w:rPr>
          <w:rFonts w:ascii="Times New Roman" w:hAnsi="Times New Roman"/>
          <w:lang w:val="en-GB"/>
        </w:rPr>
        <w:t xml:space="preserve"> recogniz</w:t>
      </w:r>
      <w:r w:rsidR="0075538E" w:rsidRPr="00B55B1D">
        <w:rPr>
          <w:rFonts w:ascii="Times New Roman" w:hAnsi="Times New Roman"/>
          <w:lang w:val="en-GB"/>
        </w:rPr>
        <w:t>ing</w:t>
      </w:r>
      <w:r w:rsidRPr="00B55B1D">
        <w:rPr>
          <w:rFonts w:ascii="Times New Roman" w:hAnsi="Times New Roman"/>
          <w:lang w:val="en-GB"/>
        </w:rPr>
        <w:t xml:space="preserve"> the territories that were being contemplated or designed by communities. Indigenous leaders have used territorial strategies to consolidate their power </w:t>
      </w:r>
      <w:proofErr w:type="spellStart"/>
      <w:r w:rsidRPr="00B55B1D">
        <w:rPr>
          <w:rFonts w:ascii="Times New Roman" w:hAnsi="Times New Roman"/>
          <w:lang w:val="en-GB"/>
        </w:rPr>
        <w:t>vis</w:t>
      </w:r>
      <w:proofErr w:type="spellEnd"/>
      <w:r w:rsidRPr="00B55B1D">
        <w:rPr>
          <w:rFonts w:ascii="Times New Roman" w:hAnsi="Times New Roman"/>
          <w:lang w:val="en-GB"/>
        </w:rPr>
        <w:t xml:space="preserve"> a </w:t>
      </w:r>
      <w:proofErr w:type="spellStart"/>
      <w:r w:rsidRPr="00B55B1D">
        <w:rPr>
          <w:rFonts w:ascii="Times New Roman" w:hAnsi="Times New Roman"/>
          <w:lang w:val="en-GB"/>
        </w:rPr>
        <w:t>vis</w:t>
      </w:r>
      <w:proofErr w:type="spellEnd"/>
      <w:r w:rsidRPr="00B55B1D">
        <w:rPr>
          <w:rFonts w:ascii="Times New Roman" w:hAnsi="Times New Roman"/>
          <w:lang w:val="en-GB"/>
        </w:rPr>
        <w:t xml:space="preserve"> the central government in a broader, legitimate geopolitical struggle: central government</w:t>
      </w:r>
      <w:r w:rsidR="0075538E" w:rsidRPr="00B55B1D">
        <w:rPr>
          <w:rFonts w:ascii="Times New Roman" w:hAnsi="Times New Roman"/>
          <w:lang w:val="en-GB"/>
        </w:rPr>
        <w:t>s</w:t>
      </w:r>
      <w:r w:rsidRPr="00B55B1D">
        <w:rPr>
          <w:rFonts w:ascii="Times New Roman" w:hAnsi="Times New Roman"/>
          <w:lang w:val="en-GB"/>
        </w:rPr>
        <w:t xml:space="preserve"> have tried to control the region’s resources, and this broader plan positions ‘the region’ better for the future. Hence the political configuration of territory is deeply linked to the struggle for economic power and control over natural resources.</w:t>
      </w:r>
    </w:p>
    <w:p w:rsidR="00561E59" w:rsidRPr="00B55B1D" w:rsidRDefault="00561E59" w:rsidP="00561E59">
      <w:pPr>
        <w:spacing w:after="0"/>
        <w:rPr>
          <w:rFonts w:ascii="Times New Roman" w:hAnsi="Times New Roman"/>
          <w:lang w:val="en-GB"/>
        </w:rPr>
      </w:pPr>
    </w:p>
    <w:p w:rsidR="00067A63" w:rsidRPr="00B55B1D" w:rsidRDefault="0091579E" w:rsidP="00067A63">
      <w:pPr>
        <w:spacing w:after="0"/>
        <w:rPr>
          <w:rFonts w:ascii="Times New Roman" w:hAnsi="Times New Roman"/>
          <w:lang w:val="en-GB"/>
        </w:rPr>
      </w:pPr>
      <w:r w:rsidRPr="00B55B1D">
        <w:rPr>
          <w:rFonts w:ascii="Times New Roman" w:hAnsi="Times New Roman"/>
          <w:lang w:val="en-GB"/>
        </w:rPr>
        <w:t xml:space="preserve">Nevertheless, the process has </w:t>
      </w:r>
      <w:proofErr w:type="spellStart"/>
      <w:r w:rsidRPr="00B55B1D">
        <w:rPr>
          <w:rFonts w:ascii="Times New Roman" w:hAnsi="Times New Roman"/>
          <w:lang w:val="en-GB"/>
        </w:rPr>
        <w:t>sidelined</w:t>
      </w:r>
      <w:proofErr w:type="spellEnd"/>
      <w:r w:rsidRPr="00B55B1D">
        <w:rPr>
          <w:rFonts w:ascii="Times New Roman" w:hAnsi="Times New Roman"/>
          <w:lang w:val="en-GB"/>
        </w:rPr>
        <w:t xml:space="preserve"> the needs and desires of the communities whose rights were being recognized and placed indigenous leaders at odds with communities, at least in some cases. These political leaders have sought to impose their own territorial ‘representatives’, whose domain of powers includes allocating natural resources, both internally and </w:t>
      </w:r>
      <w:r w:rsidR="00371926">
        <w:rPr>
          <w:rFonts w:ascii="Times New Roman" w:hAnsi="Times New Roman"/>
          <w:lang w:val="en-GB"/>
        </w:rPr>
        <w:t>to</w:t>
      </w:r>
      <w:r w:rsidR="00544C5F">
        <w:rPr>
          <w:rFonts w:ascii="Times New Roman" w:hAnsi="Times New Roman"/>
          <w:lang w:val="en-GB"/>
        </w:rPr>
        <w:t xml:space="preserve"> external actors</w:t>
      </w:r>
      <w:r w:rsidRPr="00B55B1D">
        <w:rPr>
          <w:rFonts w:ascii="Times New Roman" w:hAnsi="Times New Roman"/>
          <w:lang w:val="en-GB"/>
        </w:rPr>
        <w:t xml:space="preserve">. In other words, defining the configuration of territories became a way to strengthen indigenous political power </w:t>
      </w:r>
      <w:r w:rsidRPr="00B55B1D">
        <w:rPr>
          <w:rFonts w:ascii="Times New Roman" w:hAnsi="Times New Roman"/>
          <w:i/>
          <w:lang w:val="en-GB"/>
        </w:rPr>
        <w:t>and</w:t>
      </w:r>
      <w:r w:rsidRPr="00B55B1D">
        <w:rPr>
          <w:rFonts w:ascii="Times New Roman" w:hAnsi="Times New Roman"/>
          <w:lang w:val="en-GB"/>
        </w:rPr>
        <w:t xml:space="preserve"> to control community resources. </w:t>
      </w:r>
      <w:r w:rsidR="00F828E2" w:rsidRPr="00B55B1D">
        <w:rPr>
          <w:rFonts w:ascii="Times New Roman" w:hAnsi="Times New Roman"/>
          <w:lang w:val="en-GB"/>
        </w:rPr>
        <w:t>The territories and authorities that communities chose have been</w:t>
      </w:r>
      <w:r w:rsidR="00067A63" w:rsidRPr="00B55B1D">
        <w:rPr>
          <w:rFonts w:ascii="Times New Roman" w:hAnsi="Times New Roman"/>
          <w:lang w:val="en-GB"/>
        </w:rPr>
        <w:t xml:space="preserve"> marginalized; communities have been pressured into accepting a particular shape and size of territory, which determines who is eligible to elect the territorial authority</w:t>
      </w:r>
      <w:r w:rsidR="0075538E" w:rsidRPr="00B55B1D">
        <w:rPr>
          <w:rFonts w:ascii="Times New Roman" w:hAnsi="Times New Roman"/>
          <w:lang w:val="en-GB"/>
        </w:rPr>
        <w:t xml:space="preserve">. </w:t>
      </w:r>
      <w:r w:rsidR="000F194F">
        <w:rPr>
          <w:rFonts w:ascii="Times New Roman" w:hAnsi="Times New Roman"/>
          <w:lang w:val="en-GB"/>
        </w:rPr>
        <w:t>At the same time</w:t>
      </w:r>
      <w:r w:rsidR="0075538E" w:rsidRPr="00B55B1D">
        <w:rPr>
          <w:rFonts w:ascii="Times New Roman" w:hAnsi="Times New Roman"/>
          <w:lang w:val="en-GB"/>
        </w:rPr>
        <w:t>,</w:t>
      </w:r>
      <w:r w:rsidR="00067A63" w:rsidRPr="00B55B1D">
        <w:rPr>
          <w:rFonts w:ascii="Times New Roman" w:hAnsi="Times New Roman"/>
          <w:lang w:val="en-GB"/>
        </w:rPr>
        <w:t xml:space="preserve"> the </w:t>
      </w:r>
      <w:r w:rsidR="00544C5F">
        <w:rPr>
          <w:rFonts w:ascii="Times New Roman" w:hAnsi="Times New Roman"/>
          <w:lang w:val="en-GB"/>
        </w:rPr>
        <w:t>heads</w:t>
      </w:r>
      <w:r w:rsidR="00067A63" w:rsidRPr="00B55B1D">
        <w:rPr>
          <w:rFonts w:ascii="Times New Roman" w:hAnsi="Times New Roman"/>
          <w:lang w:val="en-GB"/>
        </w:rPr>
        <w:t xml:space="preserve"> of the imposed territories have sometimes been designated by party leaders rather than elected. Leaders and communities thus sought </w:t>
      </w:r>
      <w:r w:rsidR="00067A63" w:rsidRPr="00B55B1D">
        <w:rPr>
          <w:rFonts w:ascii="Times New Roman" w:hAnsi="Times New Roman"/>
          <w:i/>
          <w:lang w:val="en-GB"/>
        </w:rPr>
        <w:t>different entities</w:t>
      </w:r>
      <w:r w:rsidR="00067A63" w:rsidRPr="00B55B1D">
        <w:rPr>
          <w:rFonts w:ascii="Times New Roman" w:hAnsi="Times New Roman"/>
          <w:lang w:val="en-GB"/>
        </w:rPr>
        <w:t xml:space="preserve"> as the legitimate territorial representative, based in part on the configuration of the territory itself. This case demonstrates that the battles over legitimate territory and legitimate representa</w:t>
      </w:r>
      <w:r w:rsidR="000F194F">
        <w:rPr>
          <w:rFonts w:ascii="Times New Roman" w:hAnsi="Times New Roman"/>
          <w:lang w:val="en-GB"/>
        </w:rPr>
        <w:t xml:space="preserve">tion </w:t>
      </w:r>
      <w:r w:rsidR="00067A63" w:rsidRPr="00B55B1D">
        <w:rPr>
          <w:rFonts w:ascii="Times New Roman" w:hAnsi="Times New Roman"/>
          <w:lang w:val="en-GB"/>
        </w:rPr>
        <w:t>are inextricably linked.</w:t>
      </w:r>
    </w:p>
    <w:p w:rsidR="00067A63" w:rsidRPr="00B55B1D" w:rsidRDefault="00067A63" w:rsidP="00067A63">
      <w:pPr>
        <w:spacing w:after="0"/>
        <w:rPr>
          <w:rFonts w:ascii="Times New Roman" w:hAnsi="Times New Roman"/>
          <w:b/>
          <w:lang w:val="en-GB"/>
        </w:rPr>
      </w:pPr>
    </w:p>
    <w:p w:rsidR="00561E59" w:rsidRPr="00B55B1D" w:rsidRDefault="00561E59" w:rsidP="00561E59">
      <w:pPr>
        <w:spacing w:after="0"/>
        <w:rPr>
          <w:rFonts w:ascii="Times New Roman" w:hAnsi="Times New Roman"/>
          <w:lang w:val="en-GB"/>
        </w:rPr>
      </w:pPr>
      <w:r w:rsidRPr="00B55B1D">
        <w:rPr>
          <w:rFonts w:ascii="Times New Roman" w:hAnsi="Times New Roman"/>
          <w:lang w:val="en-GB"/>
        </w:rPr>
        <w:t xml:space="preserve">In </w:t>
      </w:r>
      <w:proofErr w:type="spellStart"/>
      <w:r w:rsidRPr="00B55B1D">
        <w:rPr>
          <w:rFonts w:ascii="Times New Roman" w:hAnsi="Times New Roman"/>
          <w:lang w:val="en-GB"/>
        </w:rPr>
        <w:t>Guarayos</w:t>
      </w:r>
      <w:proofErr w:type="spellEnd"/>
      <w:r w:rsidRPr="00B55B1D">
        <w:rPr>
          <w:rFonts w:ascii="Times New Roman" w:hAnsi="Times New Roman"/>
          <w:lang w:val="en-GB"/>
        </w:rPr>
        <w:t>, communities elected their indigenous territorial representative, though COPNAG was originally an advocacy organization that was given a new domain of powers under changing circumstances. At the same time, its influence on the titling process was undermined by decisions such as the renew</w:t>
      </w:r>
      <w:r w:rsidR="00544C5F">
        <w:rPr>
          <w:rFonts w:ascii="Times New Roman" w:hAnsi="Times New Roman"/>
          <w:lang w:val="en-GB"/>
        </w:rPr>
        <w:t>ed</w:t>
      </w:r>
      <w:r w:rsidRPr="00B55B1D">
        <w:rPr>
          <w:rFonts w:ascii="Times New Roman" w:hAnsi="Times New Roman"/>
          <w:lang w:val="en-GB"/>
        </w:rPr>
        <w:t xml:space="preserve"> logging concessions, and its domain of powers beyond the titling process were ambiguous in relation to existing municipal governments. Political and economic pressures, a new domain of unfamiliar and ambiguous powers and lack of oversight and accountability resulted in corruption and a split in the leadership. As in Nicaragua, the process of representation was fundamentally shaped by the broader geopolitical struggle for indigenous rights </w:t>
      </w:r>
      <w:proofErr w:type="spellStart"/>
      <w:proofErr w:type="gramStart"/>
      <w:r w:rsidRPr="00B55B1D">
        <w:rPr>
          <w:rFonts w:ascii="Times New Roman" w:hAnsi="Times New Roman"/>
          <w:lang w:val="en-GB"/>
        </w:rPr>
        <w:t>vis</w:t>
      </w:r>
      <w:proofErr w:type="spellEnd"/>
      <w:proofErr w:type="gramEnd"/>
      <w:r w:rsidRPr="00B55B1D">
        <w:rPr>
          <w:rFonts w:ascii="Times New Roman" w:hAnsi="Times New Roman"/>
          <w:lang w:val="en-GB"/>
        </w:rPr>
        <w:t xml:space="preserve"> a </w:t>
      </w:r>
      <w:proofErr w:type="spellStart"/>
      <w:r w:rsidRPr="00B55B1D">
        <w:rPr>
          <w:rFonts w:ascii="Times New Roman" w:hAnsi="Times New Roman"/>
          <w:lang w:val="en-GB"/>
        </w:rPr>
        <w:t>vis</w:t>
      </w:r>
      <w:proofErr w:type="spellEnd"/>
      <w:r w:rsidRPr="00B55B1D">
        <w:rPr>
          <w:rFonts w:ascii="Times New Roman" w:hAnsi="Times New Roman"/>
          <w:lang w:val="en-GB"/>
        </w:rPr>
        <w:t xml:space="preserve"> central government. </w:t>
      </w:r>
      <w:r w:rsidR="00D17FD0" w:rsidRPr="00B55B1D">
        <w:rPr>
          <w:rFonts w:ascii="Times New Roman" w:hAnsi="Times New Roman"/>
          <w:lang w:val="en-GB"/>
        </w:rPr>
        <w:t xml:space="preserve">In spite of having central government support, the </w:t>
      </w:r>
      <w:proofErr w:type="spellStart"/>
      <w:r w:rsidR="00D17FD0" w:rsidRPr="00B55B1D">
        <w:rPr>
          <w:rFonts w:ascii="Times New Roman" w:hAnsi="Times New Roman"/>
          <w:lang w:val="en-GB"/>
        </w:rPr>
        <w:t>Guarayos</w:t>
      </w:r>
      <w:proofErr w:type="spellEnd"/>
      <w:r w:rsidR="00D17FD0" w:rsidRPr="00B55B1D">
        <w:rPr>
          <w:rFonts w:ascii="Times New Roman" w:hAnsi="Times New Roman"/>
          <w:lang w:val="en-GB"/>
        </w:rPr>
        <w:t xml:space="preserve"> territory is located in </w:t>
      </w:r>
      <w:r w:rsidR="000F194F">
        <w:rPr>
          <w:rFonts w:ascii="Times New Roman" w:hAnsi="Times New Roman"/>
          <w:lang w:val="en-GB"/>
        </w:rPr>
        <w:t xml:space="preserve">a </w:t>
      </w:r>
      <w:r w:rsidR="00D17FD0" w:rsidRPr="00B55B1D">
        <w:rPr>
          <w:rFonts w:ascii="Times New Roman" w:hAnsi="Times New Roman"/>
          <w:lang w:val="en-GB"/>
        </w:rPr>
        <w:t xml:space="preserve">lowland </w:t>
      </w:r>
      <w:r w:rsidR="0075538E" w:rsidRPr="00B55B1D">
        <w:rPr>
          <w:rFonts w:ascii="Times New Roman" w:hAnsi="Times New Roman"/>
          <w:lang w:val="en-GB"/>
        </w:rPr>
        <w:t>department</w:t>
      </w:r>
      <w:r w:rsidR="00D17FD0" w:rsidRPr="00B55B1D">
        <w:rPr>
          <w:rFonts w:ascii="Times New Roman" w:hAnsi="Times New Roman"/>
          <w:lang w:val="en-GB"/>
        </w:rPr>
        <w:t xml:space="preserve"> that </w:t>
      </w:r>
      <w:r w:rsidR="000F194F">
        <w:rPr>
          <w:rFonts w:ascii="Times New Roman" w:hAnsi="Times New Roman"/>
          <w:lang w:val="en-GB"/>
        </w:rPr>
        <w:t>is</w:t>
      </w:r>
      <w:r w:rsidR="00D17FD0" w:rsidRPr="00B55B1D">
        <w:rPr>
          <w:rFonts w:ascii="Times New Roman" w:hAnsi="Times New Roman"/>
          <w:lang w:val="en-GB"/>
        </w:rPr>
        <w:t xml:space="preserve"> dominated by powerful politicians and economic actors that do not sympathize with indigenous people’s demands for rights. </w:t>
      </w:r>
      <w:r w:rsidRPr="00B55B1D">
        <w:rPr>
          <w:rFonts w:ascii="Times New Roman" w:hAnsi="Times New Roman"/>
          <w:lang w:val="en-GB"/>
        </w:rPr>
        <w:t xml:space="preserve">When the process began, vested interests </w:t>
      </w:r>
      <w:r w:rsidR="0075538E" w:rsidRPr="00B55B1D">
        <w:rPr>
          <w:rFonts w:ascii="Times New Roman" w:hAnsi="Times New Roman"/>
          <w:lang w:val="en-GB"/>
        </w:rPr>
        <w:t xml:space="preserve">at both </w:t>
      </w:r>
      <w:r w:rsidR="000F194F">
        <w:rPr>
          <w:rFonts w:ascii="Times New Roman" w:hAnsi="Times New Roman"/>
          <w:lang w:val="en-GB"/>
        </w:rPr>
        <w:t xml:space="preserve">central and departmental levels </w:t>
      </w:r>
      <w:r w:rsidRPr="00B55B1D">
        <w:rPr>
          <w:rFonts w:ascii="Times New Roman" w:hAnsi="Times New Roman"/>
          <w:lang w:val="en-GB"/>
        </w:rPr>
        <w:t>interfered with titling</w:t>
      </w:r>
      <w:r w:rsidR="0075538E" w:rsidRPr="00B55B1D">
        <w:rPr>
          <w:rFonts w:ascii="Times New Roman" w:hAnsi="Times New Roman"/>
          <w:lang w:val="en-GB"/>
        </w:rPr>
        <w:t xml:space="preserve"> and sought ways to corrupt the system</w:t>
      </w:r>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As in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the organization created to represent the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collective in the Philippines case was the same one that was originally set up to fight for land rights. But the Philippines ancestral domain case presents a success story. The KEF had a number of advantages over COPNAG: the territory is much smaller and more homogeneous, thus communication for accountability is much simpler; powerful outsiders seeking to invade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lands were defeated in court over 30 years ago; and the area is a forest reserve, hence there is probably less incentive for elite land grabs today. The current situation is much more conflictive in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territory. Also key to the KEF’s success, however, has been finding the appropriate balance between the new entity with powers over land and natural resources and the traditional institution for solving community problems, and significant efforts to guarantee transparency and accountability. It is notable that a trusted, embedded external broker has facilitated these processes.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r w:rsidRPr="00B55B1D">
        <w:rPr>
          <w:rFonts w:ascii="Times New Roman" w:hAnsi="Times New Roman"/>
          <w:b/>
          <w:lang w:val="en-GB"/>
        </w:rPr>
        <w:t>Roots of conflict</w:t>
      </w:r>
    </w:p>
    <w:p w:rsidR="00067A63" w:rsidRPr="00B55B1D" w:rsidRDefault="00067A63" w:rsidP="00067A63">
      <w:pPr>
        <w:spacing w:after="0"/>
        <w:rPr>
          <w:rFonts w:ascii="Times New Roman" w:hAnsi="Times New Roman"/>
          <w:highlight w:val="yellow"/>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cases all </w:t>
      </w:r>
      <w:r w:rsidR="006C558F" w:rsidRPr="00B55B1D">
        <w:rPr>
          <w:rFonts w:ascii="Times New Roman" w:hAnsi="Times New Roman"/>
          <w:lang w:val="en-GB"/>
        </w:rPr>
        <w:t xml:space="preserve">illustrate </w:t>
      </w:r>
      <w:r w:rsidRPr="00B55B1D">
        <w:rPr>
          <w:rFonts w:ascii="Times New Roman" w:hAnsi="Times New Roman"/>
          <w:lang w:val="en-GB"/>
        </w:rPr>
        <w:t xml:space="preserve">rights demands that have emerged from conflict. </w:t>
      </w:r>
      <w:r w:rsidR="006C558F" w:rsidRPr="00B55B1D">
        <w:rPr>
          <w:rFonts w:ascii="Times New Roman" w:hAnsi="Times New Roman"/>
          <w:lang w:val="en-GB"/>
        </w:rPr>
        <w:t xml:space="preserve">The </w:t>
      </w:r>
      <w:r w:rsidRPr="00B55B1D">
        <w:rPr>
          <w:rFonts w:ascii="Times New Roman" w:hAnsi="Times New Roman"/>
          <w:lang w:val="en-GB"/>
        </w:rPr>
        <w:t>conflict</w:t>
      </w:r>
      <w:r w:rsidR="006C558F" w:rsidRPr="00B55B1D">
        <w:rPr>
          <w:rFonts w:ascii="Times New Roman" w:hAnsi="Times New Roman"/>
          <w:lang w:val="en-GB"/>
        </w:rPr>
        <w:t>s</w:t>
      </w:r>
      <w:r w:rsidRPr="00B55B1D">
        <w:rPr>
          <w:rFonts w:ascii="Times New Roman" w:hAnsi="Times New Roman"/>
          <w:lang w:val="en-GB"/>
        </w:rPr>
        <w:t xml:space="preserve"> often </w:t>
      </w:r>
      <w:r w:rsidR="006C558F" w:rsidRPr="00B55B1D">
        <w:rPr>
          <w:rFonts w:ascii="Times New Roman" w:hAnsi="Times New Roman"/>
          <w:lang w:val="en-GB"/>
        </w:rPr>
        <w:t xml:space="preserve">involved </w:t>
      </w:r>
      <w:r w:rsidRPr="00B55B1D">
        <w:rPr>
          <w:rFonts w:ascii="Times New Roman" w:hAnsi="Times New Roman"/>
          <w:lang w:val="en-GB"/>
        </w:rPr>
        <w:t xml:space="preserve">indirect or broader-scale struggles relating to the denial of indigenous rights historically; but direct conflicts, principally incursions into territories claimed by indigenous communities, are precipitating factors. The definition of territorial boundaries also often results in disputes and negotiation, as competing claims from </w:t>
      </w:r>
      <w:r w:rsidR="000F194F" w:rsidRPr="00B55B1D">
        <w:rPr>
          <w:rFonts w:ascii="Times New Roman" w:hAnsi="Times New Roman"/>
          <w:lang w:val="en-GB"/>
        </w:rPr>
        <w:t>neighbouring</w:t>
      </w:r>
      <w:r w:rsidRPr="00B55B1D">
        <w:rPr>
          <w:rFonts w:ascii="Times New Roman" w:hAnsi="Times New Roman"/>
          <w:lang w:val="en-GB"/>
        </w:rPr>
        <w:t xml:space="preserve"> communities or from people living inside indigenous territories must be resolved</w:t>
      </w:r>
      <w:r w:rsidR="000F194F">
        <w:rPr>
          <w:rFonts w:ascii="Times New Roman" w:hAnsi="Times New Roman"/>
          <w:lang w:val="en-GB"/>
        </w:rPr>
        <w:t>, either during titling, as in Bolivia, or after, as in Nicaragua</w:t>
      </w:r>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It is no surprise, then, that the recognition of rights – and indigenous rights in particular – does not signify an end to conflict but rather the beginning of a new phase of struggle. Struggles over territory and authority are intimately linked</w:t>
      </w:r>
      <w:r w:rsidRPr="000F194F">
        <w:rPr>
          <w:rFonts w:ascii="Times New Roman" w:hAnsi="Times New Roman"/>
          <w:lang w:val="en-GB"/>
        </w:rPr>
        <w:t>. Territory leaders, or authorities, become key loci around which issues of political and economic power converge.</w:t>
      </w:r>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For indigenous people, particularly those organized in vast regions as in much of Latin America, communities and territories are embedded in broader struggles over political rights and autonomy with an important </w:t>
      </w:r>
      <w:r w:rsidR="00F06AAD" w:rsidRPr="00B55B1D">
        <w:rPr>
          <w:rFonts w:ascii="Times New Roman" w:hAnsi="Times New Roman"/>
          <w:lang w:val="en-GB"/>
        </w:rPr>
        <w:t xml:space="preserve">historical, </w:t>
      </w:r>
      <w:r w:rsidRPr="00B55B1D">
        <w:rPr>
          <w:rFonts w:ascii="Times New Roman" w:hAnsi="Times New Roman"/>
          <w:lang w:val="en-GB"/>
        </w:rPr>
        <w:t>geopolitical component. Political demands include the right to self-determination and development, including economic rights to land and natural resources. Hence regional indigenous political leaders in Nicaragua define their interests in relation to a central state administration that is currently friendly but historically has been far more often hostile. Their interest in the configuration of territories and territorial authorities, then, is grounded in this historical geopolitical conflict and is aimed at strengthening ‘the region’.</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In Bolivia the issues are similar but the tables are turned. The regional authorities</w:t>
      </w:r>
      <w:r w:rsidR="00F06AAD" w:rsidRPr="00B55B1D">
        <w:rPr>
          <w:rFonts w:ascii="Times New Roman" w:hAnsi="Times New Roman"/>
          <w:lang w:val="en-GB"/>
        </w:rPr>
        <w:t>, tied to economic elite,</w:t>
      </w:r>
      <w:r w:rsidRPr="00B55B1D">
        <w:rPr>
          <w:rFonts w:ascii="Times New Roman" w:hAnsi="Times New Roman"/>
          <w:lang w:val="en-GB"/>
        </w:rPr>
        <w:t xml:space="preserve"> are also at odds with the central state administration for control of the region in their demand for autonomy</w:t>
      </w:r>
      <w:r w:rsidR="00F06AAD" w:rsidRPr="00B55B1D">
        <w:rPr>
          <w:rFonts w:ascii="Times New Roman" w:hAnsi="Times New Roman"/>
          <w:lang w:val="en-GB"/>
        </w:rPr>
        <w:t>;</w:t>
      </w:r>
      <w:r w:rsidRPr="00B55B1D">
        <w:rPr>
          <w:rFonts w:ascii="Times New Roman" w:hAnsi="Times New Roman"/>
          <w:lang w:val="en-GB"/>
        </w:rPr>
        <w:t xml:space="preserve"> this time the regional authorities are also hostile to indigenous rights</w:t>
      </w:r>
      <w:r w:rsidR="00F06AAD" w:rsidRPr="00B55B1D">
        <w:rPr>
          <w:rFonts w:ascii="Times New Roman" w:hAnsi="Times New Roman"/>
          <w:lang w:val="en-GB"/>
        </w:rPr>
        <w:t>, and the conflict with the central government erupt</w:t>
      </w:r>
      <w:r w:rsidR="000F194F">
        <w:rPr>
          <w:rFonts w:ascii="Times New Roman" w:hAnsi="Times New Roman"/>
          <w:lang w:val="en-GB"/>
        </w:rPr>
        <w:t>ed</w:t>
      </w:r>
      <w:r w:rsidR="00F06AAD" w:rsidRPr="00B55B1D">
        <w:rPr>
          <w:rFonts w:ascii="Times New Roman" w:hAnsi="Times New Roman"/>
          <w:lang w:val="en-GB"/>
        </w:rPr>
        <w:t xml:space="preserve"> precisely when an indigenous president came to power. </w:t>
      </w:r>
      <w:r w:rsidRPr="00B55B1D">
        <w:rPr>
          <w:rFonts w:ascii="Times New Roman" w:hAnsi="Times New Roman"/>
          <w:lang w:val="en-GB"/>
        </w:rPr>
        <w:t>They manage</w:t>
      </w:r>
      <w:r w:rsidR="006C558F" w:rsidRPr="00B55B1D">
        <w:rPr>
          <w:rFonts w:ascii="Times New Roman" w:hAnsi="Times New Roman"/>
          <w:lang w:val="en-GB"/>
        </w:rPr>
        <w:t>d</w:t>
      </w:r>
      <w:r w:rsidRPr="00B55B1D">
        <w:rPr>
          <w:rFonts w:ascii="Times New Roman" w:hAnsi="Times New Roman"/>
          <w:lang w:val="en-GB"/>
        </w:rPr>
        <w:t xml:space="preserve"> to divide the indigenous movement to try to undermine COPNAG’s potential for political and economic control of the region. Their interest in the territorial authority, then, is both to strengthen ‘the region’ </w:t>
      </w:r>
      <w:proofErr w:type="spellStart"/>
      <w:proofErr w:type="gramStart"/>
      <w:r w:rsidRPr="00B55B1D">
        <w:rPr>
          <w:rFonts w:ascii="Times New Roman" w:hAnsi="Times New Roman"/>
          <w:lang w:val="en-GB"/>
        </w:rPr>
        <w:t>vis</w:t>
      </w:r>
      <w:proofErr w:type="spellEnd"/>
      <w:proofErr w:type="gramEnd"/>
      <w:r w:rsidRPr="00B55B1D">
        <w:rPr>
          <w:rFonts w:ascii="Times New Roman" w:hAnsi="Times New Roman"/>
          <w:lang w:val="en-GB"/>
        </w:rPr>
        <w:t xml:space="preserve"> a </w:t>
      </w:r>
      <w:proofErr w:type="spellStart"/>
      <w:r w:rsidRPr="00B55B1D">
        <w:rPr>
          <w:rFonts w:ascii="Times New Roman" w:hAnsi="Times New Roman"/>
          <w:lang w:val="en-GB"/>
        </w:rPr>
        <w:t>vis</w:t>
      </w:r>
      <w:proofErr w:type="spellEnd"/>
      <w:r w:rsidRPr="00B55B1D">
        <w:rPr>
          <w:rFonts w:ascii="Times New Roman" w:hAnsi="Times New Roman"/>
          <w:lang w:val="en-GB"/>
        </w:rPr>
        <w:t xml:space="preserve"> central government but also to control resources and weaken community rights.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That is, in both cases there is a component of control that is looking outward, interested in blocking the meddling interests of the central government, and another that is looking inward, toward the communities and indigenous peoples of the region. This is the point where the broader political and economic interests start blending into personal interests. This clearly occurred in the Bolivia case</w:t>
      </w:r>
      <w:r w:rsidR="00387CE5" w:rsidRPr="00B55B1D">
        <w:rPr>
          <w:rFonts w:ascii="Times New Roman" w:hAnsi="Times New Roman"/>
          <w:lang w:val="en-GB"/>
        </w:rPr>
        <w:t xml:space="preserve">, where the (non-indigenous) regional politicians are not the champions of indigenous rights. In Nicaragua, </w:t>
      </w:r>
      <w:r w:rsidRPr="00B55B1D">
        <w:rPr>
          <w:rFonts w:ascii="Times New Roman" w:hAnsi="Times New Roman"/>
          <w:lang w:val="en-GB"/>
        </w:rPr>
        <w:t>it is not clear</w:t>
      </w:r>
      <w:r w:rsidR="00387CE5" w:rsidRPr="00B55B1D">
        <w:rPr>
          <w:rFonts w:ascii="Times New Roman" w:hAnsi="Times New Roman"/>
          <w:lang w:val="en-GB"/>
        </w:rPr>
        <w:t xml:space="preserve"> to what extent the political champions of indigenous rights actually hope </w:t>
      </w:r>
      <w:r w:rsidRPr="00B55B1D">
        <w:rPr>
          <w:rFonts w:ascii="Times New Roman" w:hAnsi="Times New Roman"/>
          <w:lang w:val="en-GB"/>
        </w:rPr>
        <w:t>to strengthen rights</w:t>
      </w:r>
      <w:r w:rsidR="00387CE5" w:rsidRPr="00B55B1D">
        <w:rPr>
          <w:rFonts w:ascii="Times New Roman" w:hAnsi="Times New Roman"/>
          <w:lang w:val="en-GB"/>
        </w:rPr>
        <w:t xml:space="preserve"> at the community level</w:t>
      </w:r>
      <w:r w:rsidRPr="00B55B1D">
        <w:rPr>
          <w:rFonts w:ascii="Times New Roman" w:hAnsi="Times New Roman"/>
          <w:lang w:val="en-GB"/>
        </w:rPr>
        <w:t>, as they also, at least at times, have sought to control territorial authorities.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In all three cases, territorial authorities have power over people and resources inside the territory and also serve as the legal representatives of community interests externally. Hence, </w:t>
      </w:r>
      <w:r w:rsidRPr="000F194F">
        <w:rPr>
          <w:rFonts w:ascii="Times New Roman" w:hAnsi="Times New Roman"/>
          <w:lang w:val="en-GB"/>
        </w:rPr>
        <w:t>communities depend on them for access to land and resources and for political representation in their interest. For external actors seeking control over people and resources on the ground, controlling the territorial authority is key.</w:t>
      </w:r>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r w:rsidRPr="00B55B1D">
        <w:rPr>
          <w:rFonts w:ascii="Times New Roman" w:hAnsi="Times New Roman"/>
          <w:b/>
          <w:lang w:val="en-GB"/>
        </w:rPr>
        <w:t>Roots of legitimacy</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In all three cases, communities chose their representatives through processes that were both backed by law (the Communal Lands Law in Nicaragua, laws of incorporation in Bolivia and the Philippines) and embedded, at least to some extent, in indigenous or local traditions. The combination appears to be important for both </w:t>
      </w:r>
      <w:r w:rsidRPr="00B55B1D">
        <w:rPr>
          <w:rFonts w:ascii="Times New Roman" w:hAnsi="Times New Roman"/>
          <w:i/>
          <w:lang w:val="en-GB"/>
        </w:rPr>
        <w:t>local</w:t>
      </w:r>
      <w:r w:rsidRPr="00B55B1D">
        <w:rPr>
          <w:rFonts w:ascii="Times New Roman" w:hAnsi="Times New Roman"/>
          <w:lang w:val="en-GB"/>
        </w:rPr>
        <w:t xml:space="preserve"> legitimacy and accountability. But this alone is not enough to guarantee their success, particularly in light of outside pressures.</w:t>
      </w:r>
    </w:p>
    <w:p w:rsidR="00067A63" w:rsidRPr="00B55B1D" w:rsidRDefault="00067A63" w:rsidP="00067A63">
      <w:pPr>
        <w:spacing w:after="0"/>
        <w:rPr>
          <w:rFonts w:ascii="Times New Roman" w:hAnsi="Times New Roman"/>
          <w:lang w:val="en-GB"/>
        </w:rPr>
      </w:pPr>
    </w:p>
    <w:p w:rsidR="00D17FD0" w:rsidRPr="00B55B1D" w:rsidRDefault="00067A63" w:rsidP="00067A63">
      <w:pPr>
        <w:spacing w:after="0"/>
        <w:rPr>
          <w:rFonts w:ascii="Times New Roman" w:hAnsi="Times New Roman"/>
          <w:lang w:val="en-GB"/>
        </w:rPr>
      </w:pPr>
      <w:r w:rsidRPr="00B55B1D">
        <w:rPr>
          <w:rFonts w:ascii="Times New Roman" w:hAnsi="Times New Roman"/>
          <w:lang w:val="en-GB"/>
        </w:rPr>
        <w:t xml:space="preserve">Bolivia’s </w:t>
      </w:r>
      <w:r w:rsidR="006C558F" w:rsidRPr="00B55B1D">
        <w:rPr>
          <w:rFonts w:ascii="Times New Roman" w:hAnsi="Times New Roman"/>
          <w:lang w:val="en-GB"/>
        </w:rPr>
        <w:t xml:space="preserve">tenure reform </w:t>
      </w:r>
      <w:r w:rsidRPr="00B55B1D">
        <w:rPr>
          <w:rFonts w:ascii="Times New Roman" w:hAnsi="Times New Roman"/>
          <w:lang w:val="en-GB"/>
        </w:rPr>
        <w:t xml:space="preserve">laws allow indigenous organizations to develop their own by-laws, and the election of COPNAG was </w:t>
      </w:r>
      <w:r w:rsidR="00387CE5" w:rsidRPr="00B55B1D">
        <w:rPr>
          <w:rFonts w:ascii="Times New Roman" w:hAnsi="Times New Roman"/>
          <w:lang w:val="en-GB"/>
        </w:rPr>
        <w:t xml:space="preserve">carried out </w:t>
      </w:r>
      <w:r w:rsidRPr="00B55B1D">
        <w:rPr>
          <w:rFonts w:ascii="Times New Roman" w:hAnsi="Times New Roman"/>
          <w:lang w:val="en-GB"/>
        </w:rPr>
        <w:t xml:space="preserve">through the existing rural organizational structure of </w:t>
      </w:r>
      <w:proofErr w:type="spellStart"/>
      <w:r w:rsidRPr="00B55B1D">
        <w:rPr>
          <w:rFonts w:ascii="Times New Roman" w:hAnsi="Times New Roman"/>
          <w:i/>
          <w:lang w:val="en-GB"/>
        </w:rPr>
        <w:t>centrales</w:t>
      </w:r>
      <w:proofErr w:type="spellEnd"/>
      <w:r w:rsidRPr="00B55B1D">
        <w:rPr>
          <w:rFonts w:ascii="Times New Roman" w:hAnsi="Times New Roman"/>
          <w:lang w:val="en-GB"/>
        </w:rPr>
        <w:t xml:space="preserve">. </w:t>
      </w:r>
      <w:r w:rsidR="00D17FD0" w:rsidRPr="00B55B1D">
        <w:rPr>
          <w:rFonts w:ascii="Times New Roman" w:hAnsi="Times New Roman"/>
          <w:lang w:val="en-GB"/>
        </w:rPr>
        <w:t>The result was a process of legitimate representation, which began with benefiting communities electing representative</w:t>
      </w:r>
      <w:r w:rsidR="006C558F" w:rsidRPr="00B55B1D">
        <w:rPr>
          <w:rFonts w:ascii="Times New Roman" w:hAnsi="Times New Roman"/>
          <w:lang w:val="en-GB"/>
        </w:rPr>
        <w:t>s</w:t>
      </w:r>
      <w:r w:rsidR="00D17FD0" w:rsidRPr="00B55B1D">
        <w:rPr>
          <w:rFonts w:ascii="Times New Roman" w:hAnsi="Times New Roman"/>
          <w:lang w:val="en-GB"/>
        </w:rPr>
        <w:t xml:space="preserve"> in the process of advocating for their territorial claim, but then faltered. </w:t>
      </w:r>
      <w:r w:rsidRPr="00B55B1D">
        <w:rPr>
          <w:rFonts w:ascii="Times New Roman" w:hAnsi="Times New Roman"/>
          <w:lang w:val="en-GB"/>
        </w:rPr>
        <w:t xml:space="preserve">When </w:t>
      </w:r>
      <w:r w:rsidR="00544C5F">
        <w:rPr>
          <w:rFonts w:ascii="Times New Roman" w:hAnsi="Times New Roman"/>
          <w:lang w:val="en-GB"/>
        </w:rPr>
        <w:t>the</w:t>
      </w:r>
      <w:r w:rsidR="00D17FD0" w:rsidRPr="00B55B1D">
        <w:rPr>
          <w:rFonts w:ascii="Times New Roman" w:hAnsi="Times New Roman"/>
          <w:lang w:val="en-GB"/>
        </w:rPr>
        <w:t xml:space="preserve"> </w:t>
      </w:r>
      <w:r w:rsidRPr="00B55B1D">
        <w:rPr>
          <w:rFonts w:ascii="Times New Roman" w:hAnsi="Times New Roman"/>
          <w:lang w:val="en-GB"/>
        </w:rPr>
        <w:t xml:space="preserve">problems </w:t>
      </w:r>
      <w:r w:rsidR="00544C5F">
        <w:rPr>
          <w:rFonts w:ascii="Times New Roman" w:hAnsi="Times New Roman"/>
          <w:lang w:val="en-GB"/>
        </w:rPr>
        <w:t xml:space="preserve">with corruption </w:t>
      </w:r>
      <w:r w:rsidRPr="00B55B1D">
        <w:rPr>
          <w:rFonts w:ascii="Times New Roman" w:hAnsi="Times New Roman"/>
          <w:lang w:val="en-GB"/>
        </w:rPr>
        <w:t xml:space="preserve">arose, the corporate legal structure was used to oust the unaccountable directors and elect new ones. </w:t>
      </w:r>
      <w:r w:rsidR="006C558F" w:rsidRPr="00B55B1D">
        <w:rPr>
          <w:rFonts w:ascii="Times New Roman" w:hAnsi="Times New Roman"/>
          <w:lang w:val="en-GB"/>
        </w:rPr>
        <w:t xml:space="preserve"> </w:t>
      </w:r>
    </w:p>
    <w:p w:rsidR="00D17FD0" w:rsidRPr="00B55B1D" w:rsidRDefault="00D17FD0"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In the Philippines, each </w:t>
      </w:r>
      <w:r w:rsidRPr="00B55B1D">
        <w:rPr>
          <w:rFonts w:ascii="Times New Roman" w:hAnsi="Times New Roman"/>
          <w:i/>
          <w:lang w:val="en-GB"/>
        </w:rPr>
        <w:t>barangay</w:t>
      </w:r>
      <w:r w:rsidRPr="00B55B1D">
        <w:rPr>
          <w:rFonts w:ascii="Times New Roman" w:hAnsi="Times New Roman"/>
          <w:lang w:val="en-GB"/>
        </w:rPr>
        <w:t xml:space="preserve"> elects both its local government officials and its representative to the KEF board; many board members are village elders. Though some problems are resolved through the corporate structure, important problems and conflicts are debated before the traditional tribal court, the </w:t>
      </w:r>
      <w:proofErr w:type="spellStart"/>
      <w:r w:rsidRPr="00B55B1D">
        <w:rPr>
          <w:rFonts w:ascii="Times New Roman" w:hAnsi="Times New Roman"/>
          <w:i/>
          <w:lang w:val="en-GB"/>
        </w:rPr>
        <w:t>Tongtongan</w:t>
      </w:r>
      <w:proofErr w:type="spellEnd"/>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Nicaragua’s indigenous communities elect their traditional communal authorities </w:t>
      </w:r>
      <w:proofErr w:type="gramStart"/>
      <w:r w:rsidRPr="00B55B1D">
        <w:rPr>
          <w:rFonts w:ascii="Times New Roman" w:hAnsi="Times New Roman"/>
          <w:lang w:val="en-GB"/>
        </w:rPr>
        <w:t>who</w:t>
      </w:r>
      <w:proofErr w:type="gramEnd"/>
      <w:r w:rsidRPr="00B55B1D">
        <w:rPr>
          <w:rFonts w:ascii="Times New Roman" w:hAnsi="Times New Roman"/>
          <w:lang w:val="en-GB"/>
        </w:rPr>
        <w:t xml:space="preserve"> then come together, as defined in the Communal Lands Law, to elect the new territorial authority. The problems with this process were associated with powerful outside actors trying to control, reorganize or manipulate it – for this they appeared to have little recourse.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All of the cases demonstrate the importance of the legitimacy of the territorial leader being proposed, but the specific circumstances are different in each. In the Philippines case, both external and community-level actors accept the same entity as the legitimate representative of the territory. In Nicaragua, this was a specific point of contention, as regional political leaders and communities proposed different entities. And in Bolivia, the ousting of the existing directorate of COPNAG resulted in a split such that one original entity became two – one legitimate to regional politicians, the other legitimate to the communities that had organized the new election.</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When there was contention, each side sought to win the legitimacy of its choice. But communities are clearly the weaker contestants. Their efforts to use advocacy and support networks to push forward their choices were largely ignored. It is not clear, after all, to what extent those in power need legitimacy or just the appearance of legitimacy to get their way (see </w:t>
      </w:r>
      <w:proofErr w:type="spellStart"/>
      <w:r w:rsidRPr="00B55B1D">
        <w:rPr>
          <w:rFonts w:ascii="Times New Roman" w:hAnsi="Times New Roman"/>
          <w:lang w:val="en-GB"/>
        </w:rPr>
        <w:t>Deephouse</w:t>
      </w:r>
      <w:proofErr w:type="spellEnd"/>
      <w:r w:rsidRPr="00B55B1D">
        <w:rPr>
          <w:rFonts w:ascii="Times New Roman" w:hAnsi="Times New Roman"/>
          <w:lang w:val="en-GB"/>
        </w:rPr>
        <w:t xml:space="preserve"> and </w:t>
      </w:r>
      <w:proofErr w:type="spellStart"/>
      <w:r w:rsidRPr="00B55B1D">
        <w:rPr>
          <w:rFonts w:ascii="Times New Roman" w:hAnsi="Times New Roman"/>
          <w:lang w:val="en-GB"/>
        </w:rPr>
        <w:t>Suchman</w:t>
      </w:r>
      <w:proofErr w:type="spellEnd"/>
      <w:r w:rsidR="003E5D58" w:rsidRPr="00B55B1D">
        <w:rPr>
          <w:rFonts w:ascii="Times New Roman" w:hAnsi="Times New Roman"/>
          <w:lang w:val="en-GB"/>
        </w:rPr>
        <w:t>,</w:t>
      </w:r>
      <w:r w:rsidRPr="00B55B1D">
        <w:rPr>
          <w:rFonts w:ascii="Times New Roman" w:hAnsi="Times New Roman"/>
          <w:lang w:val="en-GB"/>
        </w:rPr>
        <w:t xml:space="preserve"> 2008). But there were clearly efforts at negotiation to win voluntary compliance in the Nicaraguan case, once it became clear that pressure alone would not work.</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Finally, much can be learned from the Philippines case specifically. It is notable that the only case here in which an authority emerged that was legitimate both to the state and to the community involved a highly respected, embedded external broker. Pastor Rice has served as an effective intermediary between the community and the government (</w:t>
      </w:r>
      <w:proofErr w:type="spellStart"/>
      <w:r w:rsidRPr="00B55B1D">
        <w:rPr>
          <w:rFonts w:ascii="Times New Roman" w:hAnsi="Times New Roman"/>
          <w:lang w:val="en-GB"/>
        </w:rPr>
        <w:t>Dahal</w:t>
      </w:r>
      <w:proofErr w:type="spellEnd"/>
      <w:r w:rsidRPr="00B55B1D">
        <w:rPr>
          <w:rFonts w:ascii="Times New Roman" w:hAnsi="Times New Roman"/>
          <w:lang w:val="en-GB"/>
        </w:rPr>
        <w:t xml:space="preserve"> and </w:t>
      </w:r>
      <w:proofErr w:type="spellStart"/>
      <w:r w:rsidRPr="00B55B1D">
        <w:rPr>
          <w:rFonts w:ascii="Times New Roman" w:hAnsi="Times New Roman"/>
          <w:lang w:val="en-GB"/>
        </w:rPr>
        <w:t>A</w:t>
      </w:r>
      <w:r w:rsidR="007C32E7" w:rsidRPr="00B55B1D">
        <w:rPr>
          <w:rFonts w:ascii="Times New Roman" w:hAnsi="Times New Roman"/>
          <w:lang w:val="en-GB"/>
        </w:rPr>
        <w:t>khikari</w:t>
      </w:r>
      <w:proofErr w:type="spellEnd"/>
      <w:r w:rsidR="003E5D58" w:rsidRPr="00B55B1D">
        <w:rPr>
          <w:rFonts w:ascii="Times New Roman" w:hAnsi="Times New Roman"/>
          <w:lang w:val="en-GB"/>
        </w:rPr>
        <w:t>,</w:t>
      </w:r>
      <w:r w:rsidRPr="00B55B1D">
        <w:rPr>
          <w:rFonts w:ascii="Times New Roman" w:hAnsi="Times New Roman"/>
          <w:lang w:val="en-GB"/>
        </w:rPr>
        <w:t xml:space="preserve"> 2008). This is also the oldest case: the court case that reversed the Marcos government’s plan for a resort took place in 1972. The KEF has evolved over time, with changes in the size and configuration of the board of directors. It is neither entirely new nor entirely traditional but rather appears to have found an acceptable balance between the two types of institutions. Rice has played a key role in maintaining legitimacy over time by assuring transparent rules of the game and the implementation of effective accountability mechanisms.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p>
    <w:p w:rsidR="00067A63" w:rsidRPr="00B55B1D" w:rsidRDefault="00EC1BE5" w:rsidP="00067A63">
      <w:pPr>
        <w:spacing w:after="0"/>
        <w:rPr>
          <w:rFonts w:ascii="Times New Roman" w:hAnsi="Times New Roman"/>
          <w:b/>
          <w:lang w:val="en-GB"/>
        </w:rPr>
      </w:pPr>
      <w:r w:rsidRPr="00B55B1D">
        <w:rPr>
          <w:rFonts w:ascii="Times New Roman" w:hAnsi="Times New Roman"/>
          <w:b/>
          <w:lang w:val="en-GB"/>
        </w:rPr>
        <w:t>CONCLUSION</w:t>
      </w:r>
    </w:p>
    <w:p w:rsidR="00067A63" w:rsidRPr="00B55B1D" w:rsidRDefault="00067A63" w:rsidP="00067A63">
      <w:pPr>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The three cases together provide an instructive panorama of the issues surrounding authority that emerge in the recognition of indigenous land rights. They demonstrate the complex and often conflictive political processes unleashed by such policies and show that the recognition of forest tenure rights is far from straightforward and predictable. Six lessons emerge:</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proofErr w:type="gramStart"/>
      <w:r w:rsidRPr="00B55B1D">
        <w:rPr>
          <w:rFonts w:ascii="Times New Roman" w:hAnsi="Times New Roman"/>
          <w:lang w:val="en-GB"/>
        </w:rPr>
        <w:t>First, the entities chosen to represent communities or territories matter.</w:t>
      </w:r>
      <w:proofErr w:type="gramEnd"/>
      <w:r w:rsidRPr="00B55B1D">
        <w:rPr>
          <w:rFonts w:ascii="Times New Roman" w:hAnsi="Times New Roman"/>
          <w:lang w:val="en-GB"/>
        </w:rPr>
        <w:t xml:space="preserve"> As authorities, legitimated by the state through the recognition process, by communities through election, etc., they have concrete effects on outcomes for indigenous people. In the RAAN, leaders at the </w:t>
      </w:r>
      <w:r w:rsidR="009C1AA5" w:rsidRPr="00B55B1D">
        <w:rPr>
          <w:rFonts w:ascii="Times New Roman" w:hAnsi="Times New Roman"/>
          <w:lang w:val="en-GB"/>
        </w:rPr>
        <w:t>territorial</w:t>
      </w:r>
      <w:r w:rsidR="006C558F" w:rsidRPr="00B55B1D">
        <w:rPr>
          <w:rFonts w:ascii="Times New Roman" w:hAnsi="Times New Roman"/>
          <w:lang w:val="en-GB"/>
        </w:rPr>
        <w:t xml:space="preserve"> </w:t>
      </w:r>
      <w:r w:rsidRPr="00B55B1D">
        <w:rPr>
          <w:rFonts w:ascii="Times New Roman" w:hAnsi="Times New Roman"/>
          <w:lang w:val="en-GB"/>
        </w:rPr>
        <w:t xml:space="preserve">level approve logging permits and have access to tax income designated for the territory. In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COPNAG was granted the power to support logging petitions and to certify the validity of land claims. In the Philippines, the KEF grants land and forest access permits and establishes management norms defining resource access. </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Second, apparently simple solutions, such as recognizing the existing ‘authority’, may not be an option. In all three cases, there was no existing governance institution at the scale required. Scaling up from existing community organizations in Nicaragua, </w:t>
      </w:r>
      <w:r w:rsidRPr="00B55B1D">
        <w:rPr>
          <w:rFonts w:ascii="Times New Roman" w:hAnsi="Times New Roman"/>
          <w:i/>
          <w:lang w:val="en-GB"/>
        </w:rPr>
        <w:t>barangays</w:t>
      </w:r>
      <w:r w:rsidRPr="00B55B1D">
        <w:rPr>
          <w:rFonts w:ascii="Times New Roman" w:hAnsi="Times New Roman"/>
          <w:lang w:val="en-GB"/>
        </w:rPr>
        <w:t xml:space="preserve"> in the Philippines or </w:t>
      </w:r>
      <w:proofErr w:type="spellStart"/>
      <w:r w:rsidRPr="00B55B1D">
        <w:rPr>
          <w:rFonts w:ascii="Times New Roman" w:hAnsi="Times New Roman"/>
          <w:i/>
          <w:lang w:val="en-GB"/>
        </w:rPr>
        <w:t>centrales</w:t>
      </w:r>
      <w:proofErr w:type="spellEnd"/>
      <w:r w:rsidRPr="00B55B1D">
        <w:rPr>
          <w:rFonts w:ascii="Times New Roman" w:hAnsi="Times New Roman"/>
          <w:lang w:val="en-GB"/>
        </w:rPr>
        <w:t xml:space="preserve"> in Bolivia is a viable alternative, but these processes may be highly conflictive de</w:t>
      </w:r>
      <w:r w:rsidR="00E161C7">
        <w:rPr>
          <w:rFonts w:ascii="Times New Roman" w:hAnsi="Times New Roman"/>
          <w:lang w:val="en-GB"/>
        </w:rPr>
        <w:t>pending on the interests at stak</w:t>
      </w:r>
      <w:r w:rsidRPr="00B55B1D">
        <w:rPr>
          <w:rFonts w:ascii="Times New Roman" w:hAnsi="Times New Roman"/>
          <w:lang w:val="en-GB"/>
        </w:rPr>
        <w:t>e and the degree of attention to issues such as accountability.</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proofErr w:type="gramStart"/>
      <w:r w:rsidRPr="00B55B1D">
        <w:rPr>
          <w:rFonts w:ascii="Times New Roman" w:hAnsi="Times New Roman"/>
          <w:lang w:val="en-GB"/>
        </w:rPr>
        <w:t>Third, even when communities elect their representative and defend the local legitimacy of this authority, a state entity – or other key actor – may have a conflicting interest.</w:t>
      </w:r>
      <w:proofErr w:type="gramEnd"/>
      <w:r w:rsidRPr="00B55B1D">
        <w:rPr>
          <w:rFonts w:ascii="Times New Roman" w:hAnsi="Times New Roman"/>
          <w:lang w:val="en-GB"/>
        </w:rPr>
        <w:t xml:space="preserve"> This is what happened in the RAAN. Hence representation at the territory level, tied to the configuration of territories, became the battleground with indigenous (</w:t>
      </w:r>
      <w:proofErr w:type="spellStart"/>
      <w:r w:rsidRPr="00B55B1D">
        <w:rPr>
          <w:rFonts w:ascii="Times New Roman" w:hAnsi="Times New Roman"/>
          <w:lang w:val="en-GB"/>
        </w:rPr>
        <w:t>Miskitu</w:t>
      </w:r>
      <w:proofErr w:type="spellEnd"/>
      <w:r w:rsidRPr="00B55B1D">
        <w:rPr>
          <w:rFonts w:ascii="Times New Roman" w:hAnsi="Times New Roman"/>
          <w:lang w:val="en-GB"/>
        </w:rPr>
        <w:t xml:space="preserve">) leaders, who in turn sought to reshape the design of representation at the regional level to their political advantage </w:t>
      </w:r>
      <w:proofErr w:type="spellStart"/>
      <w:r w:rsidRPr="00B55B1D">
        <w:rPr>
          <w:rFonts w:ascii="Times New Roman" w:hAnsi="Times New Roman"/>
          <w:lang w:val="en-GB"/>
        </w:rPr>
        <w:t>vis</w:t>
      </w:r>
      <w:proofErr w:type="spellEnd"/>
      <w:r w:rsidRPr="00B55B1D">
        <w:rPr>
          <w:rFonts w:ascii="Times New Roman" w:hAnsi="Times New Roman"/>
          <w:lang w:val="en-GB"/>
        </w:rPr>
        <w:t xml:space="preserve"> a </w:t>
      </w:r>
      <w:proofErr w:type="spellStart"/>
      <w:r w:rsidRPr="00B55B1D">
        <w:rPr>
          <w:rFonts w:ascii="Times New Roman" w:hAnsi="Times New Roman"/>
          <w:lang w:val="en-GB"/>
        </w:rPr>
        <w:t>vis</w:t>
      </w:r>
      <w:proofErr w:type="spellEnd"/>
      <w:r w:rsidRPr="00B55B1D">
        <w:rPr>
          <w:rFonts w:ascii="Times New Roman" w:hAnsi="Times New Roman"/>
          <w:lang w:val="en-GB"/>
        </w:rPr>
        <w:t xml:space="preserve"> the central government. </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Fourth, the election of entities at the territory level may lead to overlapping, ambiguous and conflicting domains with existing state government structures such as municipalities. In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for example, indigenous </w:t>
      </w:r>
      <w:r w:rsidR="009C1AA5" w:rsidRPr="00B55B1D">
        <w:rPr>
          <w:rFonts w:ascii="Times New Roman" w:hAnsi="Times New Roman"/>
          <w:lang w:val="en-GB"/>
        </w:rPr>
        <w:t>property is superimposed over several</w:t>
      </w:r>
      <w:r w:rsidRPr="00B55B1D">
        <w:rPr>
          <w:rFonts w:ascii="Times New Roman" w:hAnsi="Times New Roman"/>
          <w:lang w:val="en-GB"/>
        </w:rPr>
        <w:t xml:space="preserve"> municipal borders, </w:t>
      </w:r>
      <w:r w:rsidR="009C1AA5" w:rsidRPr="00B55B1D">
        <w:rPr>
          <w:rFonts w:ascii="Times New Roman" w:hAnsi="Times New Roman"/>
          <w:lang w:val="en-GB"/>
        </w:rPr>
        <w:t>creating a situation in which the population is under distinct local governments with specific power</w:t>
      </w:r>
      <w:r w:rsidR="00E161C7">
        <w:rPr>
          <w:rFonts w:ascii="Times New Roman" w:hAnsi="Times New Roman"/>
          <w:lang w:val="en-GB"/>
        </w:rPr>
        <w:t>s</w:t>
      </w:r>
      <w:r w:rsidR="009C1AA5" w:rsidRPr="00B55B1D">
        <w:rPr>
          <w:rFonts w:ascii="Times New Roman" w:hAnsi="Times New Roman"/>
          <w:lang w:val="en-GB"/>
        </w:rPr>
        <w:t>, administrative roles and budgets while COPNAG</w:t>
      </w:r>
      <w:r w:rsidR="00C0742B">
        <w:rPr>
          <w:rFonts w:ascii="Times New Roman" w:hAnsi="Times New Roman"/>
          <w:lang w:val="en-GB"/>
        </w:rPr>
        <w:t>’</w:t>
      </w:r>
      <w:r w:rsidR="009C1AA5" w:rsidRPr="00B55B1D">
        <w:rPr>
          <w:rFonts w:ascii="Times New Roman" w:hAnsi="Times New Roman"/>
          <w:lang w:val="en-GB"/>
        </w:rPr>
        <w:t xml:space="preserve">s </w:t>
      </w:r>
      <w:r w:rsidR="00C0742B">
        <w:rPr>
          <w:rFonts w:ascii="Times New Roman" w:hAnsi="Times New Roman"/>
          <w:lang w:val="en-GB"/>
        </w:rPr>
        <w:t>domain</w:t>
      </w:r>
      <w:r w:rsidRPr="00B55B1D">
        <w:rPr>
          <w:rFonts w:ascii="Times New Roman" w:hAnsi="Times New Roman"/>
          <w:lang w:val="en-GB"/>
        </w:rPr>
        <w:t xml:space="preserve"> of powers </w:t>
      </w:r>
      <w:r w:rsidR="00C0742B">
        <w:rPr>
          <w:rFonts w:ascii="Times New Roman" w:hAnsi="Times New Roman"/>
          <w:lang w:val="en-GB"/>
        </w:rPr>
        <w:t>is</w:t>
      </w:r>
      <w:r w:rsidR="009C1AA5" w:rsidRPr="00B55B1D">
        <w:rPr>
          <w:rFonts w:ascii="Times New Roman" w:hAnsi="Times New Roman"/>
          <w:lang w:val="en-GB"/>
        </w:rPr>
        <w:t xml:space="preserve"> ill-</w:t>
      </w:r>
      <w:r w:rsidRPr="00B55B1D">
        <w:rPr>
          <w:rFonts w:ascii="Times New Roman" w:hAnsi="Times New Roman"/>
          <w:lang w:val="en-GB"/>
        </w:rPr>
        <w:t>defined</w:t>
      </w:r>
      <w:r w:rsidR="00E161C7">
        <w:rPr>
          <w:rFonts w:ascii="Times New Roman" w:hAnsi="Times New Roman"/>
          <w:lang w:val="en-GB"/>
        </w:rPr>
        <w:t xml:space="preserve"> and</w:t>
      </w:r>
      <w:r w:rsidR="009C1AA5" w:rsidRPr="00B55B1D">
        <w:rPr>
          <w:rFonts w:ascii="Times New Roman" w:hAnsi="Times New Roman"/>
          <w:lang w:val="en-GB"/>
        </w:rPr>
        <w:t xml:space="preserve"> vague</w:t>
      </w:r>
      <w:r w:rsidRPr="00B55B1D">
        <w:rPr>
          <w:rFonts w:ascii="Times New Roman" w:hAnsi="Times New Roman"/>
          <w:lang w:val="en-GB"/>
        </w:rPr>
        <w:t xml:space="preserve">. In Nicaragua, if legislation </w:t>
      </w:r>
      <w:r w:rsidR="00E161C7">
        <w:rPr>
          <w:rFonts w:ascii="Times New Roman" w:hAnsi="Times New Roman"/>
          <w:lang w:val="en-GB"/>
        </w:rPr>
        <w:t>is not passed to replace</w:t>
      </w:r>
      <w:r w:rsidRPr="00B55B1D">
        <w:rPr>
          <w:rFonts w:ascii="Times New Roman" w:hAnsi="Times New Roman"/>
          <w:lang w:val="en-GB"/>
        </w:rPr>
        <w:t xml:space="preserve"> the existing municipal structures with territorial boundaries, the problem of jurisdiction will also have to be resolved.</w:t>
      </w:r>
    </w:p>
    <w:p w:rsidR="00067A63" w:rsidRPr="00B55B1D" w:rsidRDefault="00067A63" w:rsidP="00067A63">
      <w:pPr>
        <w:widowControl w:val="0"/>
        <w:spacing w:after="0"/>
        <w:rPr>
          <w:rFonts w:ascii="Times New Roman" w:hAnsi="Times New Roman"/>
          <w:lang w:val="en-GB"/>
        </w:rPr>
      </w:pPr>
    </w:p>
    <w:p w:rsidR="00067A63" w:rsidRPr="00B55B1D" w:rsidRDefault="00067A63" w:rsidP="00067A63">
      <w:pPr>
        <w:widowControl w:val="0"/>
        <w:spacing w:after="0"/>
        <w:rPr>
          <w:rFonts w:ascii="Times New Roman" w:hAnsi="Times New Roman"/>
          <w:lang w:val="en-GB"/>
        </w:rPr>
      </w:pPr>
      <w:r w:rsidRPr="00B55B1D">
        <w:rPr>
          <w:rFonts w:ascii="Times New Roman" w:hAnsi="Times New Roman"/>
          <w:lang w:val="en-GB"/>
        </w:rPr>
        <w:t xml:space="preserve">Fifth, elected, representative authorities may </w:t>
      </w:r>
      <w:r w:rsidR="00E161C7">
        <w:rPr>
          <w:rFonts w:ascii="Times New Roman" w:hAnsi="Times New Roman"/>
          <w:lang w:val="en-GB"/>
        </w:rPr>
        <w:t>begin</w:t>
      </w:r>
      <w:r w:rsidRPr="00B55B1D">
        <w:rPr>
          <w:rFonts w:ascii="Times New Roman" w:hAnsi="Times New Roman"/>
          <w:lang w:val="en-GB"/>
        </w:rPr>
        <w:t xml:space="preserve"> with a certain amount of legitimacy</w:t>
      </w:r>
      <w:r w:rsidR="00E161C7">
        <w:rPr>
          <w:rFonts w:ascii="Times New Roman" w:hAnsi="Times New Roman"/>
          <w:lang w:val="en-GB"/>
        </w:rPr>
        <w:t>, but this</w:t>
      </w:r>
      <w:r w:rsidRPr="00B55B1D">
        <w:rPr>
          <w:rFonts w:ascii="Times New Roman" w:hAnsi="Times New Roman"/>
          <w:lang w:val="en-GB"/>
        </w:rPr>
        <w:t xml:space="preserve"> can also break down without effective accountability and control mechanisms. Effective representation and accountability can be very difficult at a territor</w:t>
      </w:r>
      <w:r w:rsidR="009C1AA5" w:rsidRPr="00B55B1D">
        <w:rPr>
          <w:rFonts w:ascii="Times New Roman" w:hAnsi="Times New Roman"/>
          <w:lang w:val="en-GB"/>
        </w:rPr>
        <w:t>ial</w:t>
      </w:r>
      <w:r w:rsidRPr="00B55B1D">
        <w:rPr>
          <w:rFonts w:ascii="Times New Roman" w:hAnsi="Times New Roman"/>
          <w:lang w:val="en-GB"/>
        </w:rPr>
        <w:t xml:space="preserve"> scale, particularly if it is large</w:t>
      </w:r>
      <w:r w:rsidR="00E161C7">
        <w:rPr>
          <w:rFonts w:ascii="Times New Roman" w:hAnsi="Times New Roman"/>
          <w:lang w:val="en-GB"/>
        </w:rPr>
        <w:t>,</w:t>
      </w:r>
      <w:r w:rsidRPr="00B55B1D">
        <w:rPr>
          <w:rFonts w:ascii="Times New Roman" w:hAnsi="Times New Roman"/>
          <w:lang w:val="en-GB"/>
        </w:rPr>
        <w:t xml:space="preserve"> </w:t>
      </w:r>
      <w:r w:rsidR="00E161C7">
        <w:rPr>
          <w:rFonts w:ascii="Times New Roman" w:hAnsi="Times New Roman"/>
          <w:lang w:val="en-GB"/>
        </w:rPr>
        <w:t>sparsely populated and</w:t>
      </w:r>
      <w:r w:rsidRPr="00B55B1D">
        <w:rPr>
          <w:rFonts w:ascii="Times New Roman" w:hAnsi="Times New Roman"/>
          <w:lang w:val="en-GB"/>
        </w:rPr>
        <w:t xml:space="preserve"> without previous governance experience at this scale. The COPNAG leadership fell into corrupt practices under heavy pressure from powerful economic interests and individuals; previous communal and territorial leaders in both </w:t>
      </w:r>
      <w:proofErr w:type="spellStart"/>
      <w:r w:rsidRPr="00B55B1D">
        <w:rPr>
          <w:rFonts w:ascii="Times New Roman" w:hAnsi="Times New Roman"/>
          <w:lang w:val="en-GB"/>
        </w:rPr>
        <w:t>Tasba</w:t>
      </w:r>
      <w:proofErr w:type="spellEnd"/>
      <w:r w:rsidRPr="00B55B1D">
        <w:rPr>
          <w:rFonts w:ascii="Times New Roman" w:hAnsi="Times New Roman"/>
          <w:lang w:val="en-GB"/>
        </w:rPr>
        <w:t xml:space="preserve"> Raya and </w:t>
      </w:r>
      <w:proofErr w:type="spellStart"/>
      <w:r w:rsidRPr="00B55B1D">
        <w:rPr>
          <w:rFonts w:ascii="Times New Roman" w:hAnsi="Times New Roman"/>
          <w:lang w:val="en-GB"/>
        </w:rPr>
        <w:t>Layasiksa</w:t>
      </w:r>
      <w:proofErr w:type="spellEnd"/>
      <w:r w:rsidRPr="00B55B1D">
        <w:rPr>
          <w:rFonts w:ascii="Times New Roman" w:hAnsi="Times New Roman"/>
          <w:lang w:val="en-GB"/>
        </w:rPr>
        <w:t xml:space="preserve"> had been accused of corruption.</w:t>
      </w:r>
    </w:p>
    <w:p w:rsidR="00067A63" w:rsidRPr="00B55B1D" w:rsidRDefault="00067A63" w:rsidP="00067A63">
      <w:pPr>
        <w:widowControl w:val="0"/>
        <w:spacing w:after="0"/>
        <w:rPr>
          <w:rFonts w:ascii="Times New Roman" w:hAnsi="Times New Roman"/>
          <w:highlight w:val="yellow"/>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Sixth, effective representation is possible. The KEF is an effective organization with high levels of both internal and external legitimacy. The role of Pastor Rice suggests the significance of a mediator and community advocate who has moral authority both internally and externally.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This article has demonstrated that the issue of authority should not be ignored or treated lightly in the process of recognizing indigenous rights to forest or land. The recognition of rights is often contentious and is likely to result from grassroots struggle – and there is no reason to believe the struggle ends once rights are granted (see Larson et al.</w:t>
      </w:r>
      <w:r w:rsidR="003E5D58" w:rsidRPr="00B55B1D">
        <w:rPr>
          <w:rFonts w:ascii="Times New Roman" w:hAnsi="Times New Roman"/>
          <w:lang w:val="en-GB"/>
        </w:rPr>
        <w:t>,</w:t>
      </w:r>
      <w:r w:rsidRPr="00B55B1D">
        <w:rPr>
          <w:rFonts w:ascii="Times New Roman" w:hAnsi="Times New Roman"/>
          <w:lang w:val="en-GB"/>
        </w:rPr>
        <w:t xml:space="preserve"> 2010b). One key arena of contention is the choice of entity to represent the collective, an issue intimately tied to the control of land, resources and political power. Hence it is no surprise that the choice of territorial ‘authority’ is subject to conflict and negotiation.</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 xml:space="preserve">The three cases show that simply choosing the correct, downwardly accountable institution to represent those receiving rights may not be an option; in fact, in none of the cases did such an entity exist at the scale required. More to the point, legitimate power cannot </w:t>
      </w:r>
      <w:r w:rsidR="009C1AA5" w:rsidRPr="00B55B1D">
        <w:rPr>
          <w:rFonts w:ascii="Times New Roman" w:hAnsi="Times New Roman"/>
          <w:lang w:val="en-GB"/>
        </w:rPr>
        <w:t xml:space="preserve">be </w:t>
      </w:r>
      <w:r w:rsidRPr="00B55B1D">
        <w:rPr>
          <w:rFonts w:ascii="Times New Roman" w:hAnsi="Times New Roman"/>
          <w:lang w:val="en-GB"/>
        </w:rPr>
        <w:t xml:space="preserve">chosen: it has to be constructed. </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r w:rsidRPr="00B55B1D">
        <w:rPr>
          <w:rFonts w:ascii="Times New Roman" w:hAnsi="Times New Roman"/>
          <w:b/>
          <w:highlight w:val="yellow"/>
          <w:lang w:val="en-GB"/>
        </w:rPr>
        <w:br w:type="page"/>
      </w:r>
      <w:r w:rsidRPr="00B55B1D">
        <w:rPr>
          <w:rFonts w:ascii="Times New Roman" w:hAnsi="Times New Roman"/>
          <w:b/>
          <w:lang w:val="en-GB"/>
        </w:rPr>
        <w:t>References</w:t>
      </w:r>
    </w:p>
    <w:p w:rsidR="00067A63" w:rsidRPr="00B55B1D" w:rsidRDefault="00067A63" w:rsidP="00067A63">
      <w:pPr>
        <w:spacing w:after="0"/>
        <w:rPr>
          <w:rFonts w:ascii="Times New Roman" w:hAnsi="Times New Roman"/>
          <w:b/>
          <w:lang w:val="en-GB"/>
        </w:rPr>
      </w:pPr>
    </w:p>
    <w:p w:rsidR="00067A63" w:rsidRPr="00B55B1D" w:rsidRDefault="00067A63" w:rsidP="00D700B3">
      <w:pPr>
        <w:widowControl w:val="0"/>
        <w:autoSpaceDE w:val="0"/>
        <w:autoSpaceDN w:val="0"/>
        <w:adjustRightInd w:val="0"/>
        <w:spacing w:after="0"/>
        <w:rPr>
          <w:rFonts w:ascii="Times New Roman" w:hAnsi="Times New Roman"/>
          <w:lang w:val="en-GB"/>
        </w:rPr>
      </w:pPr>
      <w:proofErr w:type="spellStart"/>
      <w:r w:rsidRPr="00B55B1D">
        <w:rPr>
          <w:rFonts w:ascii="Times New Roman" w:hAnsi="Times New Roman"/>
          <w:lang w:val="en-GB"/>
        </w:rPr>
        <w:t>Ag</w:t>
      </w:r>
      <w:r w:rsidR="008C7900" w:rsidRPr="00B55B1D">
        <w:rPr>
          <w:rFonts w:ascii="Times New Roman" w:eastAsiaTheme="minorHAnsi" w:hAnsi="Times New Roman" w:cs="Times-Roman"/>
          <w:lang w:val="en-GB"/>
        </w:rPr>
        <w:t>rawal</w:t>
      </w:r>
      <w:proofErr w:type="spellEnd"/>
      <w:r w:rsidR="008C7900" w:rsidRPr="00B55B1D">
        <w:rPr>
          <w:rFonts w:ascii="Times New Roman" w:eastAsiaTheme="minorHAnsi" w:hAnsi="Times New Roman" w:cs="Times-Roman"/>
          <w:lang w:val="en-GB"/>
        </w:rPr>
        <w:t xml:space="preserve">, A., A. </w:t>
      </w:r>
      <w:proofErr w:type="spellStart"/>
      <w:r w:rsidR="008C7900" w:rsidRPr="00B55B1D">
        <w:rPr>
          <w:rFonts w:ascii="Times New Roman" w:eastAsiaTheme="minorHAnsi" w:hAnsi="Times New Roman" w:cs="Times-Roman"/>
          <w:lang w:val="en-GB"/>
        </w:rPr>
        <w:t>Chhatre</w:t>
      </w:r>
      <w:proofErr w:type="spellEnd"/>
      <w:r w:rsidR="008C7900" w:rsidRPr="00B55B1D">
        <w:rPr>
          <w:rFonts w:ascii="Times New Roman" w:eastAsiaTheme="minorHAnsi" w:hAnsi="Times New Roman" w:cs="Times-Roman"/>
          <w:lang w:val="en-GB"/>
        </w:rPr>
        <w:t xml:space="preserve"> and R.D. Hardin </w:t>
      </w:r>
      <w:r w:rsidR="00527BF4" w:rsidRPr="00B55B1D">
        <w:rPr>
          <w:rFonts w:ascii="Times New Roman" w:eastAsiaTheme="minorHAnsi" w:hAnsi="Times New Roman" w:cs="Times-Roman"/>
          <w:lang w:val="en-GB"/>
        </w:rPr>
        <w:t>(</w:t>
      </w:r>
      <w:r w:rsidR="008C7900" w:rsidRPr="00B55B1D">
        <w:rPr>
          <w:rFonts w:ascii="Times New Roman" w:eastAsiaTheme="minorHAnsi" w:hAnsi="Times New Roman" w:cs="Times-Roman"/>
          <w:lang w:val="en-GB"/>
        </w:rPr>
        <w:t>2008</w:t>
      </w:r>
      <w:r w:rsidR="00527BF4" w:rsidRPr="00B55B1D">
        <w:rPr>
          <w:rFonts w:ascii="Times New Roman" w:eastAsiaTheme="minorHAnsi" w:hAnsi="Times New Roman" w:cs="Times-Roman"/>
          <w:lang w:val="en-GB"/>
        </w:rPr>
        <w:t>)</w:t>
      </w:r>
      <w:r w:rsidRPr="00B55B1D">
        <w:rPr>
          <w:rFonts w:ascii="Times New Roman" w:eastAsiaTheme="minorHAnsi" w:hAnsi="Times New Roman" w:cs="Times-Roman"/>
          <w:lang w:val="en-GB"/>
        </w:rPr>
        <w:t xml:space="preserve"> </w:t>
      </w:r>
      <w:r w:rsidR="00D7534E" w:rsidRPr="00B55B1D">
        <w:rPr>
          <w:rFonts w:ascii="Times New Roman" w:eastAsiaTheme="minorHAnsi" w:hAnsi="Times New Roman" w:cs="Times-Roman"/>
          <w:lang w:val="en-GB"/>
        </w:rPr>
        <w:t>‘</w:t>
      </w:r>
      <w:r w:rsidRPr="00B55B1D">
        <w:rPr>
          <w:rFonts w:ascii="Times New Roman" w:eastAsiaTheme="minorHAnsi" w:hAnsi="Times New Roman" w:cs="Times-Roman"/>
          <w:lang w:val="en-GB"/>
        </w:rPr>
        <w:t>Changing governance of the world’</w:t>
      </w:r>
      <w:r w:rsidR="00D7534E" w:rsidRPr="00B55B1D">
        <w:rPr>
          <w:rFonts w:ascii="Times New Roman" w:eastAsiaTheme="minorHAnsi" w:hAnsi="Times New Roman" w:cs="Times-Roman"/>
          <w:lang w:val="en-GB"/>
        </w:rPr>
        <w:t>s forests’,</w:t>
      </w:r>
      <w:r w:rsidR="00D700B3" w:rsidRPr="00B55B1D">
        <w:rPr>
          <w:rFonts w:ascii="Times New Roman" w:eastAsiaTheme="minorHAnsi" w:hAnsi="Times New Roman" w:cs="Times-Roman"/>
          <w:lang w:val="en-GB"/>
        </w:rPr>
        <w:t xml:space="preserve"> </w:t>
      </w:r>
      <w:r w:rsidRPr="00B55B1D">
        <w:rPr>
          <w:rFonts w:ascii="Times New Roman" w:eastAsiaTheme="minorHAnsi" w:hAnsi="Times New Roman" w:cs="Times-Roman"/>
          <w:i/>
          <w:iCs/>
          <w:lang w:val="en-GB"/>
        </w:rPr>
        <w:t>Science</w:t>
      </w:r>
      <w:r w:rsidR="00D7534E" w:rsidRPr="00B55B1D">
        <w:rPr>
          <w:rFonts w:ascii="Times New Roman" w:eastAsiaTheme="minorHAnsi" w:hAnsi="Times New Roman" w:cs="Times-Roman"/>
          <w:lang w:val="en-GB"/>
        </w:rPr>
        <w:t xml:space="preserve"> 320</w:t>
      </w:r>
      <w:r w:rsidRPr="00B55B1D">
        <w:rPr>
          <w:rFonts w:ascii="Times New Roman" w:eastAsiaTheme="minorHAnsi" w:hAnsi="Times New Roman" w:cs="Times-Roman"/>
          <w:lang w:val="en-GB"/>
        </w:rPr>
        <w:t>(5882): 1460-62.</w:t>
      </w:r>
    </w:p>
    <w:p w:rsidR="00067A63" w:rsidRPr="00B55B1D" w:rsidRDefault="00067A63" w:rsidP="00067A63">
      <w:pPr>
        <w:spacing w:after="0"/>
        <w:rPr>
          <w:rFonts w:ascii="Times New Roman" w:hAnsi="Times New Roman"/>
          <w:lang w:val="en-GB"/>
        </w:rPr>
      </w:pPr>
    </w:p>
    <w:p w:rsidR="00067A63" w:rsidRPr="00B55B1D" w:rsidRDefault="008C7900" w:rsidP="00067A63">
      <w:pPr>
        <w:rPr>
          <w:rFonts w:ascii="Times New Roman" w:hAnsi="Times New Roman"/>
          <w:lang w:val="en-GB"/>
        </w:rPr>
      </w:pPr>
      <w:r w:rsidRPr="00B55B1D">
        <w:rPr>
          <w:rFonts w:ascii="Times New Roman" w:hAnsi="Times New Roman"/>
          <w:lang w:val="en-GB"/>
        </w:rPr>
        <w:t xml:space="preserve">Anaya, S.J., and C. Grossman </w:t>
      </w:r>
      <w:r w:rsidR="00527BF4" w:rsidRPr="00B55B1D">
        <w:rPr>
          <w:rFonts w:ascii="Times New Roman" w:hAnsi="Times New Roman"/>
          <w:lang w:val="en-GB"/>
        </w:rPr>
        <w:t>(</w:t>
      </w:r>
      <w:r w:rsidRPr="00B55B1D">
        <w:rPr>
          <w:rFonts w:ascii="Times New Roman" w:hAnsi="Times New Roman"/>
          <w:lang w:val="en-GB"/>
        </w:rPr>
        <w:t>2002</w:t>
      </w:r>
      <w:r w:rsidR="00527BF4" w:rsidRPr="00B55B1D">
        <w:rPr>
          <w:rFonts w:ascii="Times New Roman" w:hAnsi="Times New Roman"/>
          <w:lang w:val="en-GB"/>
        </w:rPr>
        <w:t>)</w:t>
      </w:r>
      <w:r w:rsidR="00067A63" w:rsidRPr="00B55B1D">
        <w:rPr>
          <w:rFonts w:ascii="Times New Roman" w:hAnsi="Times New Roman"/>
          <w:lang w:val="en-GB"/>
        </w:rPr>
        <w:t xml:space="preserve"> </w:t>
      </w:r>
      <w:r w:rsidR="00D7534E" w:rsidRPr="00B55B1D">
        <w:rPr>
          <w:rFonts w:ascii="Times New Roman" w:hAnsi="Times New Roman"/>
          <w:lang w:val="en-GB"/>
        </w:rPr>
        <w:t>‘</w:t>
      </w:r>
      <w:proofErr w:type="gramStart"/>
      <w:r w:rsidR="00067A63" w:rsidRPr="00B55B1D">
        <w:rPr>
          <w:rFonts w:ascii="Times New Roman" w:hAnsi="Times New Roman"/>
          <w:lang w:val="en-GB"/>
        </w:rPr>
        <w:t>The</w:t>
      </w:r>
      <w:proofErr w:type="gramEnd"/>
      <w:r w:rsidR="00067A63" w:rsidRPr="00B55B1D">
        <w:rPr>
          <w:rFonts w:ascii="Times New Roman" w:hAnsi="Times New Roman"/>
          <w:lang w:val="en-GB"/>
        </w:rPr>
        <w:t xml:space="preserve"> case of </w:t>
      </w:r>
      <w:proofErr w:type="spellStart"/>
      <w:r w:rsidR="00067A63" w:rsidRPr="00B55B1D">
        <w:rPr>
          <w:rFonts w:ascii="Times New Roman" w:hAnsi="Times New Roman"/>
          <w:lang w:val="en-GB"/>
        </w:rPr>
        <w:t>Awas</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Tingni</w:t>
      </w:r>
      <w:proofErr w:type="spellEnd"/>
      <w:r w:rsidR="00067A63" w:rsidRPr="00B55B1D">
        <w:rPr>
          <w:rFonts w:ascii="Times New Roman" w:hAnsi="Times New Roman"/>
          <w:lang w:val="en-GB"/>
        </w:rPr>
        <w:t xml:space="preserve"> v. Nicaragua: a new step in the internat</w:t>
      </w:r>
      <w:r w:rsidR="00D7534E" w:rsidRPr="00B55B1D">
        <w:rPr>
          <w:rFonts w:ascii="Times New Roman" w:hAnsi="Times New Roman"/>
          <w:lang w:val="en-GB"/>
        </w:rPr>
        <w:t>ional law of indigenous peoples’,</w:t>
      </w:r>
      <w:r w:rsidR="00067A63" w:rsidRPr="00B55B1D">
        <w:rPr>
          <w:rFonts w:ascii="Times New Roman" w:hAnsi="Times New Roman"/>
          <w:lang w:val="en-GB"/>
        </w:rPr>
        <w:t xml:space="preserve"> </w:t>
      </w:r>
      <w:r w:rsidR="00067A63" w:rsidRPr="00B55B1D">
        <w:rPr>
          <w:rFonts w:ascii="Times New Roman" w:hAnsi="Times New Roman"/>
          <w:i/>
          <w:lang w:val="en-GB"/>
        </w:rPr>
        <w:t>Arizona Journal of International and Comparative</w:t>
      </w:r>
      <w:r w:rsidR="00067A63" w:rsidRPr="00B55B1D">
        <w:rPr>
          <w:rFonts w:ascii="Times New Roman" w:hAnsi="Times New Roman"/>
          <w:lang w:val="en-GB"/>
        </w:rPr>
        <w:t xml:space="preserve"> </w:t>
      </w:r>
      <w:r w:rsidR="00067A63" w:rsidRPr="00B55B1D">
        <w:rPr>
          <w:rFonts w:ascii="Times New Roman" w:hAnsi="Times New Roman"/>
          <w:i/>
          <w:lang w:val="en-GB"/>
        </w:rPr>
        <w:t xml:space="preserve">Law </w:t>
      </w:r>
      <w:r w:rsidR="00D7534E" w:rsidRPr="00B55B1D">
        <w:rPr>
          <w:rFonts w:ascii="Times New Roman" w:hAnsi="Times New Roman"/>
          <w:lang w:val="en-GB"/>
        </w:rPr>
        <w:t>19</w:t>
      </w:r>
      <w:r w:rsidR="00067A63" w:rsidRPr="00B55B1D">
        <w:rPr>
          <w:rFonts w:ascii="Times New Roman" w:hAnsi="Times New Roman"/>
          <w:lang w:val="en-GB"/>
        </w:rPr>
        <w:t>(1): 1-15.</w:t>
      </w:r>
    </w:p>
    <w:p w:rsidR="00067A63" w:rsidRPr="00B55B1D" w:rsidRDefault="008C7900" w:rsidP="00067A63">
      <w:pPr>
        <w:autoSpaceDE w:val="0"/>
        <w:autoSpaceDN w:val="0"/>
        <w:adjustRightInd w:val="0"/>
        <w:rPr>
          <w:rFonts w:ascii="Times New Roman" w:hAnsi="Times New Roman"/>
          <w:lang w:val="en-GB"/>
        </w:rPr>
      </w:pPr>
      <w:proofErr w:type="spellStart"/>
      <w:proofErr w:type="gramStart"/>
      <w:r w:rsidRPr="00B55B1D">
        <w:rPr>
          <w:rFonts w:ascii="Times New Roman" w:hAnsi="Times New Roman"/>
          <w:lang w:val="en-GB"/>
        </w:rPr>
        <w:t>Bae</w:t>
      </w:r>
      <w:proofErr w:type="spellEnd"/>
      <w:r w:rsidRPr="00B55B1D">
        <w:rPr>
          <w:rFonts w:ascii="Times New Roman" w:hAnsi="Times New Roman"/>
          <w:lang w:val="en-GB"/>
        </w:rPr>
        <w:t xml:space="preserve">, M.H.M. </w:t>
      </w:r>
      <w:r w:rsidR="00527BF4" w:rsidRPr="00B55B1D">
        <w:rPr>
          <w:rFonts w:ascii="Times New Roman" w:hAnsi="Times New Roman"/>
          <w:lang w:val="en-GB"/>
        </w:rPr>
        <w:t>(</w:t>
      </w:r>
      <w:r w:rsidRPr="00B55B1D">
        <w:rPr>
          <w:rFonts w:ascii="Times New Roman" w:hAnsi="Times New Roman"/>
          <w:lang w:val="en-GB"/>
        </w:rPr>
        <w:t>2005</w:t>
      </w:r>
      <w:r w:rsidR="00527BF4" w:rsidRPr="00B55B1D">
        <w:rPr>
          <w:rFonts w:ascii="Times New Roman" w:hAnsi="Times New Roman"/>
          <w:lang w:val="en-GB"/>
        </w:rPr>
        <w:t>)</w:t>
      </w:r>
      <w:r w:rsidR="00067A63" w:rsidRPr="00B55B1D">
        <w:rPr>
          <w:rFonts w:ascii="Times New Roman" w:hAnsi="Times New Roman"/>
          <w:lang w:val="en-GB"/>
        </w:rPr>
        <w:t xml:space="preserve"> </w:t>
      </w:r>
      <w:r w:rsidR="00067A63" w:rsidRPr="00B55B1D">
        <w:rPr>
          <w:rFonts w:ascii="Times New Roman" w:hAnsi="Times New Roman"/>
          <w:i/>
          <w:lang w:val="en-GB"/>
        </w:rPr>
        <w:t>Global Patterns of Alienation and Devolution of Indigenous and Tribal Peoples’ Land</w:t>
      </w:r>
      <w:r w:rsidR="00D700B3" w:rsidRPr="00B55B1D">
        <w:rPr>
          <w:rFonts w:ascii="Times New Roman" w:hAnsi="Times New Roman"/>
          <w:lang w:val="en-GB"/>
        </w:rPr>
        <w:t>.</w:t>
      </w:r>
      <w:proofErr w:type="gramEnd"/>
      <w:r w:rsidR="00067A63" w:rsidRPr="00B55B1D">
        <w:rPr>
          <w:rFonts w:ascii="Times New Roman" w:hAnsi="Times New Roman"/>
          <w:lang w:val="en-GB"/>
        </w:rPr>
        <w:t xml:space="preserve"> Washington, DC</w:t>
      </w:r>
      <w:r w:rsidR="00D700B3" w:rsidRPr="00B55B1D">
        <w:rPr>
          <w:rFonts w:ascii="Times New Roman" w:hAnsi="Times New Roman"/>
          <w:lang w:val="en-GB"/>
        </w:rPr>
        <w:t>: World Bank.</w:t>
      </w:r>
    </w:p>
    <w:p w:rsidR="002A7121" w:rsidRPr="00B55B1D" w:rsidRDefault="00067A63" w:rsidP="00067A63">
      <w:pPr>
        <w:rPr>
          <w:rFonts w:ascii="Times New Roman" w:hAnsi="Times New Roman"/>
          <w:lang w:val="en-GB"/>
        </w:rPr>
      </w:pPr>
      <w:r w:rsidRPr="00B55B1D">
        <w:rPr>
          <w:rFonts w:ascii="Times New Roman" w:hAnsi="Times New Roman"/>
          <w:lang w:val="en-GB"/>
        </w:rPr>
        <w:t>Bar</w:t>
      </w:r>
      <w:r w:rsidR="008C7900" w:rsidRPr="00B55B1D">
        <w:rPr>
          <w:rFonts w:ascii="Times New Roman" w:hAnsi="Times New Roman"/>
          <w:lang w:val="en-GB"/>
        </w:rPr>
        <w:t xml:space="preserve">ry, D., A. Larson and C. </w:t>
      </w:r>
      <w:proofErr w:type="spellStart"/>
      <w:r w:rsidR="008C7900" w:rsidRPr="00B55B1D">
        <w:rPr>
          <w:rFonts w:ascii="Times New Roman" w:hAnsi="Times New Roman"/>
          <w:lang w:val="en-GB"/>
        </w:rPr>
        <w:t>Colfer</w:t>
      </w:r>
      <w:proofErr w:type="spellEnd"/>
      <w:r w:rsidRPr="00B55B1D">
        <w:rPr>
          <w:rFonts w:ascii="Times New Roman" w:hAnsi="Times New Roman"/>
          <w:lang w:val="en-GB"/>
        </w:rPr>
        <w:t xml:space="preserve"> </w:t>
      </w:r>
      <w:r w:rsidR="00527BF4" w:rsidRPr="00B55B1D">
        <w:rPr>
          <w:rFonts w:ascii="Times New Roman" w:hAnsi="Times New Roman"/>
          <w:lang w:val="en-GB"/>
        </w:rPr>
        <w:t>(</w:t>
      </w:r>
      <w:r w:rsidRPr="00B55B1D">
        <w:rPr>
          <w:rFonts w:ascii="Times New Roman" w:hAnsi="Times New Roman"/>
          <w:lang w:val="en-GB"/>
        </w:rPr>
        <w:t>2010</w:t>
      </w:r>
      <w:r w:rsidR="00527BF4" w:rsidRPr="00B55B1D">
        <w:rPr>
          <w:rFonts w:ascii="Times New Roman" w:hAnsi="Times New Roman"/>
          <w:lang w:val="en-GB"/>
        </w:rPr>
        <w:t>)</w:t>
      </w:r>
      <w:r w:rsidRPr="00B55B1D">
        <w:rPr>
          <w:rFonts w:ascii="Times New Roman" w:hAnsi="Times New Roman"/>
          <w:lang w:val="en-GB"/>
        </w:rPr>
        <w:t xml:space="preserve"> </w:t>
      </w:r>
      <w:r w:rsidR="00D7534E" w:rsidRPr="00B55B1D">
        <w:rPr>
          <w:rFonts w:ascii="Times New Roman" w:hAnsi="Times New Roman"/>
          <w:lang w:val="en-GB"/>
        </w:rPr>
        <w:t>‘</w:t>
      </w:r>
      <w:r w:rsidRPr="00B55B1D">
        <w:rPr>
          <w:rFonts w:ascii="Times New Roman" w:hAnsi="Times New Roman"/>
          <w:lang w:val="en-GB"/>
        </w:rPr>
        <w:t>Forest Tenure Reform: An Orphan with Many Uncles</w:t>
      </w:r>
      <w:r w:rsidR="00D7534E" w:rsidRPr="00B55B1D">
        <w:rPr>
          <w:rFonts w:ascii="Times New Roman" w:hAnsi="Times New Roman"/>
          <w:lang w:val="en-GB"/>
        </w:rPr>
        <w:t>’</w:t>
      </w:r>
      <w:r w:rsidRPr="00B55B1D">
        <w:rPr>
          <w:rFonts w:ascii="Times New Roman" w:hAnsi="Times New Roman"/>
          <w:lang w:val="en-GB"/>
        </w:rPr>
        <w:t>, in A.M. Larson, D. Barr</w:t>
      </w:r>
      <w:r w:rsidR="00D7534E" w:rsidRPr="00B55B1D">
        <w:rPr>
          <w:rFonts w:ascii="Times New Roman" w:hAnsi="Times New Roman"/>
          <w:lang w:val="en-GB"/>
        </w:rPr>
        <w:t xml:space="preserve">y, G.R. </w:t>
      </w:r>
      <w:proofErr w:type="spellStart"/>
      <w:r w:rsidR="00D7534E" w:rsidRPr="00B55B1D">
        <w:rPr>
          <w:rFonts w:ascii="Times New Roman" w:hAnsi="Times New Roman"/>
          <w:lang w:val="en-GB"/>
        </w:rPr>
        <w:t>Dahal</w:t>
      </w:r>
      <w:proofErr w:type="spellEnd"/>
      <w:r w:rsidR="00D7534E" w:rsidRPr="00B55B1D">
        <w:rPr>
          <w:rFonts w:ascii="Times New Roman" w:hAnsi="Times New Roman"/>
          <w:lang w:val="en-GB"/>
        </w:rPr>
        <w:t xml:space="preserve"> and C.J.P. </w:t>
      </w:r>
      <w:proofErr w:type="spellStart"/>
      <w:r w:rsidR="00D7534E" w:rsidRPr="00B55B1D">
        <w:rPr>
          <w:rFonts w:ascii="Times New Roman" w:hAnsi="Times New Roman"/>
          <w:lang w:val="en-GB"/>
        </w:rPr>
        <w:t>Colfer</w:t>
      </w:r>
      <w:proofErr w:type="spellEnd"/>
      <w:r w:rsidRPr="00B55B1D">
        <w:rPr>
          <w:rFonts w:ascii="Times New Roman" w:hAnsi="Times New Roman"/>
          <w:lang w:val="en-GB"/>
        </w:rPr>
        <w:t xml:space="preserve"> </w:t>
      </w:r>
      <w:r w:rsidR="00D7534E" w:rsidRPr="00B55B1D">
        <w:rPr>
          <w:rFonts w:ascii="Times New Roman" w:hAnsi="Times New Roman"/>
          <w:lang w:val="en-GB"/>
        </w:rPr>
        <w:t>(</w:t>
      </w:r>
      <w:proofErr w:type="spellStart"/>
      <w:r w:rsidR="00D7534E" w:rsidRPr="00B55B1D">
        <w:rPr>
          <w:rFonts w:ascii="Times New Roman" w:hAnsi="Times New Roman"/>
          <w:lang w:val="en-GB"/>
        </w:rPr>
        <w:t>eds</w:t>
      </w:r>
      <w:proofErr w:type="spellEnd"/>
      <w:r w:rsidR="00D7534E" w:rsidRPr="00B55B1D">
        <w:rPr>
          <w:rFonts w:ascii="Times New Roman" w:hAnsi="Times New Roman"/>
          <w:lang w:val="en-GB"/>
        </w:rPr>
        <w:t xml:space="preserve">) </w:t>
      </w:r>
      <w:r w:rsidRPr="00B55B1D">
        <w:rPr>
          <w:rFonts w:ascii="Times New Roman" w:hAnsi="Times New Roman"/>
          <w:i/>
          <w:lang w:val="en-GB"/>
        </w:rPr>
        <w:t>Forests for People: Community Rights and Forest Tenure Reform</w:t>
      </w:r>
      <w:r w:rsidRPr="00B55B1D">
        <w:rPr>
          <w:rFonts w:ascii="Times New Roman" w:hAnsi="Times New Roman"/>
          <w:lang w:val="en-GB"/>
        </w:rPr>
        <w:t xml:space="preserve">. </w:t>
      </w:r>
      <w:r w:rsidR="00D700B3" w:rsidRPr="00B55B1D">
        <w:rPr>
          <w:rFonts w:ascii="Times New Roman" w:hAnsi="Times New Roman"/>
          <w:lang w:val="en-GB"/>
        </w:rPr>
        <w:t xml:space="preserve">London: </w:t>
      </w:r>
      <w:proofErr w:type="spellStart"/>
      <w:r w:rsidRPr="00B55B1D">
        <w:rPr>
          <w:rFonts w:ascii="Times New Roman" w:hAnsi="Times New Roman"/>
          <w:lang w:val="en-GB"/>
        </w:rPr>
        <w:t>Earthscan</w:t>
      </w:r>
      <w:proofErr w:type="spellEnd"/>
      <w:r w:rsidRPr="00B55B1D">
        <w:rPr>
          <w:rFonts w:ascii="Times New Roman" w:hAnsi="Times New Roman"/>
          <w:lang w:val="en-GB"/>
        </w:rPr>
        <w:t>.</w:t>
      </w:r>
    </w:p>
    <w:p w:rsidR="00067A63" w:rsidRPr="00B55B1D" w:rsidRDefault="002A7121" w:rsidP="00067A63">
      <w:pPr>
        <w:rPr>
          <w:rFonts w:ascii="Times New Roman" w:hAnsi="Times New Roman"/>
          <w:lang w:val="en-GB"/>
        </w:rPr>
      </w:pPr>
      <w:r w:rsidRPr="00B55B1D">
        <w:rPr>
          <w:rFonts w:ascii="Times New Roman" w:hAnsi="Times New Roman"/>
          <w:lang w:val="en-GB"/>
        </w:rPr>
        <w:t xml:space="preserve">Bray, D.B., C. </w:t>
      </w:r>
      <w:proofErr w:type="spellStart"/>
      <w:r w:rsidRPr="00B55B1D">
        <w:rPr>
          <w:rFonts w:ascii="Times New Roman" w:hAnsi="Times New Roman"/>
          <w:lang w:val="en-GB"/>
        </w:rPr>
        <w:t>Antinori</w:t>
      </w:r>
      <w:proofErr w:type="spellEnd"/>
      <w:r w:rsidRPr="00B55B1D">
        <w:rPr>
          <w:rFonts w:ascii="Times New Roman" w:hAnsi="Times New Roman"/>
          <w:lang w:val="en-GB"/>
        </w:rPr>
        <w:t xml:space="preserve"> and J.M. Torres-</w:t>
      </w:r>
      <w:proofErr w:type="spellStart"/>
      <w:r w:rsidRPr="00B55B1D">
        <w:rPr>
          <w:rFonts w:ascii="Times New Roman" w:hAnsi="Times New Roman"/>
          <w:lang w:val="en-GB"/>
        </w:rPr>
        <w:t>Rojo</w:t>
      </w:r>
      <w:proofErr w:type="spellEnd"/>
      <w:r w:rsidRPr="00B55B1D">
        <w:rPr>
          <w:rFonts w:ascii="Times New Roman" w:hAnsi="Times New Roman"/>
          <w:lang w:val="en-GB"/>
        </w:rPr>
        <w:t xml:space="preserve"> (2006) ‘The Mexican model of community forest management: the role of agrarian policy, forest policy, and entrepreneurial organisation’, </w:t>
      </w:r>
      <w:r w:rsidRPr="00B55B1D">
        <w:rPr>
          <w:rFonts w:ascii="Times New Roman" w:hAnsi="Times New Roman"/>
          <w:i/>
          <w:lang w:val="en-GB"/>
        </w:rPr>
        <w:t>Forest Policy and Economics</w:t>
      </w:r>
      <w:r w:rsidRPr="00B55B1D">
        <w:rPr>
          <w:rFonts w:ascii="Times New Roman" w:hAnsi="Times New Roman"/>
          <w:lang w:val="en-GB"/>
        </w:rPr>
        <w:t xml:space="preserve"> 8: 470-84.</w:t>
      </w:r>
    </w:p>
    <w:p w:rsidR="00067A63" w:rsidRPr="00B55B1D" w:rsidRDefault="008C7900" w:rsidP="00067A63">
      <w:pPr>
        <w:rPr>
          <w:rFonts w:ascii="Times New Roman" w:hAnsi="Times New Roman"/>
          <w:lang w:val="en-GB"/>
        </w:rPr>
      </w:pPr>
      <w:r w:rsidRPr="00B55B1D">
        <w:rPr>
          <w:rFonts w:ascii="Times New Roman" w:hAnsi="Times New Roman"/>
          <w:lang w:val="en-GB"/>
        </w:rPr>
        <w:t xml:space="preserve">CRAAN </w:t>
      </w:r>
      <w:r w:rsidR="00527BF4" w:rsidRPr="00B55B1D">
        <w:rPr>
          <w:rFonts w:ascii="Times New Roman" w:hAnsi="Times New Roman"/>
          <w:lang w:val="en-GB"/>
        </w:rPr>
        <w:t>(</w:t>
      </w:r>
      <w:r w:rsidRPr="00B55B1D">
        <w:rPr>
          <w:rFonts w:ascii="Times New Roman" w:hAnsi="Times New Roman"/>
          <w:lang w:val="en-GB"/>
        </w:rPr>
        <w:t>2007</w:t>
      </w:r>
      <w:r w:rsidR="00527BF4" w:rsidRPr="00B55B1D">
        <w:rPr>
          <w:rFonts w:ascii="Times New Roman" w:hAnsi="Times New Roman"/>
          <w:lang w:val="en-GB"/>
        </w:rPr>
        <w:t>)</w:t>
      </w:r>
      <w:r w:rsidR="00067A63" w:rsidRPr="00B55B1D">
        <w:rPr>
          <w:rFonts w:ascii="Times New Roman" w:hAnsi="Times New Roman"/>
          <w:lang w:val="en-GB"/>
        </w:rPr>
        <w:t xml:space="preserve"> </w:t>
      </w:r>
      <w:r w:rsidR="00D7534E" w:rsidRPr="00B55B1D">
        <w:rPr>
          <w:rFonts w:ascii="Times New Roman" w:hAnsi="Times New Roman"/>
          <w:lang w:val="en-GB"/>
        </w:rPr>
        <w:t>‘</w:t>
      </w:r>
      <w:proofErr w:type="spellStart"/>
      <w:r w:rsidR="00067A63" w:rsidRPr="00B55B1D">
        <w:rPr>
          <w:rFonts w:ascii="Times New Roman" w:hAnsi="Times New Roman"/>
          <w:lang w:val="en-GB"/>
        </w:rPr>
        <w:t>Ayuda</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memoria</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Asamblea</w:t>
      </w:r>
      <w:proofErr w:type="spellEnd"/>
      <w:r w:rsidR="00067A63" w:rsidRPr="00B55B1D">
        <w:rPr>
          <w:rFonts w:ascii="Times New Roman" w:hAnsi="Times New Roman"/>
          <w:lang w:val="en-GB"/>
        </w:rPr>
        <w:t xml:space="preserve"> territorial de </w:t>
      </w:r>
      <w:proofErr w:type="spellStart"/>
      <w:r w:rsidR="00067A63" w:rsidRPr="00B55B1D">
        <w:rPr>
          <w:rFonts w:ascii="Times New Roman" w:hAnsi="Times New Roman"/>
          <w:lang w:val="en-GB"/>
        </w:rPr>
        <w:t>Tasba</w:t>
      </w:r>
      <w:proofErr w:type="spellEnd"/>
      <w:r w:rsidR="00067A63" w:rsidRPr="00B55B1D">
        <w:rPr>
          <w:rFonts w:ascii="Times New Roman" w:hAnsi="Times New Roman"/>
          <w:lang w:val="en-GB"/>
        </w:rPr>
        <w:t xml:space="preserve"> Raya, </w:t>
      </w:r>
      <w:proofErr w:type="spellStart"/>
      <w:r w:rsidR="00067A63" w:rsidRPr="00B55B1D">
        <w:rPr>
          <w:rFonts w:ascii="Times New Roman" w:hAnsi="Times New Roman"/>
          <w:lang w:val="en-GB"/>
        </w:rPr>
        <w:t>Waspam</w:t>
      </w:r>
      <w:proofErr w:type="spellEnd"/>
      <w:r w:rsidR="00067A63" w:rsidRPr="00B55B1D">
        <w:rPr>
          <w:rFonts w:ascii="Times New Roman" w:hAnsi="Times New Roman"/>
          <w:lang w:val="en-GB"/>
        </w:rPr>
        <w:t xml:space="preserve">, Llanos y Río Abajo y el </w:t>
      </w:r>
      <w:proofErr w:type="spellStart"/>
      <w:r w:rsidR="00067A63" w:rsidRPr="00B55B1D">
        <w:rPr>
          <w:rFonts w:ascii="Times New Roman" w:hAnsi="Times New Roman"/>
          <w:lang w:val="en-GB"/>
        </w:rPr>
        <w:t>Territorio</w:t>
      </w:r>
      <w:proofErr w:type="spellEnd"/>
      <w:r w:rsidR="00067A63" w:rsidRPr="00B55B1D">
        <w:rPr>
          <w:rFonts w:ascii="Times New Roman" w:hAnsi="Times New Roman"/>
          <w:lang w:val="en-GB"/>
        </w:rPr>
        <w:t xml:space="preserve"> MISRAT, </w:t>
      </w:r>
      <w:proofErr w:type="spellStart"/>
      <w:r w:rsidR="00067A63" w:rsidRPr="00B55B1D">
        <w:rPr>
          <w:rFonts w:ascii="Times New Roman" w:hAnsi="Times New Roman"/>
          <w:lang w:val="en-GB"/>
        </w:rPr>
        <w:t>Municipio</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Waspam</w:t>
      </w:r>
      <w:proofErr w:type="spellEnd"/>
      <w:r w:rsidR="00067A63" w:rsidRPr="00B55B1D">
        <w:rPr>
          <w:rFonts w:ascii="Times New Roman" w:hAnsi="Times New Roman"/>
          <w:lang w:val="en-GB"/>
        </w:rPr>
        <w:t xml:space="preserve"> Río Coco</w:t>
      </w:r>
      <w:r w:rsidR="00D7534E" w:rsidRPr="00B55B1D">
        <w:rPr>
          <w:rFonts w:ascii="Times New Roman" w:hAnsi="Times New Roman"/>
          <w:lang w:val="en-GB"/>
        </w:rPr>
        <w:t xml:space="preserve">’ (Minutes: Territorial Assembly of </w:t>
      </w:r>
      <w:proofErr w:type="spellStart"/>
      <w:r w:rsidR="00D7534E" w:rsidRPr="00B55B1D">
        <w:rPr>
          <w:rFonts w:ascii="Times New Roman" w:hAnsi="Times New Roman"/>
          <w:lang w:val="en-GB"/>
        </w:rPr>
        <w:t>Tasba</w:t>
      </w:r>
      <w:proofErr w:type="spellEnd"/>
      <w:r w:rsidR="00D7534E" w:rsidRPr="00B55B1D">
        <w:rPr>
          <w:rFonts w:ascii="Times New Roman" w:hAnsi="Times New Roman"/>
          <w:lang w:val="en-GB"/>
        </w:rPr>
        <w:t xml:space="preserve"> Raya, Llanos and Rio Abajo and the MISRAT Territory, Municipality of </w:t>
      </w:r>
      <w:proofErr w:type="spellStart"/>
      <w:r w:rsidR="00D7534E" w:rsidRPr="00B55B1D">
        <w:rPr>
          <w:rFonts w:ascii="Times New Roman" w:hAnsi="Times New Roman"/>
          <w:lang w:val="en-GB"/>
        </w:rPr>
        <w:t>Wasmpam</w:t>
      </w:r>
      <w:proofErr w:type="spellEnd"/>
      <w:r w:rsidR="00D7534E" w:rsidRPr="00B55B1D">
        <w:rPr>
          <w:rFonts w:ascii="Times New Roman" w:hAnsi="Times New Roman"/>
          <w:lang w:val="en-GB"/>
        </w:rPr>
        <w:t xml:space="preserve"> Rio Coc</w:t>
      </w:r>
      <w:r w:rsidR="004A7171" w:rsidRPr="00B55B1D">
        <w:rPr>
          <w:rFonts w:ascii="Times New Roman" w:hAnsi="Times New Roman"/>
          <w:lang w:val="en-GB"/>
        </w:rPr>
        <w:t>o). Unpublished meeting minutes of the</w:t>
      </w:r>
      <w:r w:rsidR="00067A63" w:rsidRPr="00B55B1D">
        <w:rPr>
          <w:rFonts w:ascii="Times New Roman" w:hAnsi="Times New Roman"/>
          <w:lang w:val="en-GB"/>
        </w:rPr>
        <w:t xml:space="preserve"> </w:t>
      </w:r>
      <w:proofErr w:type="spellStart"/>
      <w:r w:rsidR="00067A63" w:rsidRPr="00B55B1D">
        <w:rPr>
          <w:rFonts w:ascii="Times New Roman" w:hAnsi="Times New Roman"/>
          <w:lang w:val="en-GB"/>
        </w:rPr>
        <w:t>Consejo</w:t>
      </w:r>
      <w:proofErr w:type="spellEnd"/>
      <w:r w:rsidR="00067A63" w:rsidRPr="00B55B1D">
        <w:rPr>
          <w:rFonts w:ascii="Times New Roman" w:hAnsi="Times New Roman"/>
          <w:lang w:val="en-GB"/>
        </w:rPr>
        <w:t xml:space="preserve"> de la </w:t>
      </w:r>
      <w:proofErr w:type="spellStart"/>
      <w:r w:rsidR="00067A63" w:rsidRPr="00B55B1D">
        <w:rPr>
          <w:rFonts w:ascii="Times New Roman" w:hAnsi="Times New Roman"/>
          <w:lang w:val="en-GB"/>
        </w:rPr>
        <w:t>Región</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Autónoma</w:t>
      </w:r>
      <w:proofErr w:type="spellEnd"/>
      <w:r w:rsidR="00067A63" w:rsidRPr="00B55B1D">
        <w:rPr>
          <w:rFonts w:ascii="Times New Roman" w:hAnsi="Times New Roman"/>
          <w:lang w:val="en-GB"/>
        </w:rPr>
        <w:t xml:space="preserve"> Atlá</w:t>
      </w:r>
      <w:r w:rsidR="00D7534E" w:rsidRPr="00B55B1D">
        <w:rPr>
          <w:rFonts w:ascii="Times New Roman" w:hAnsi="Times New Roman"/>
          <w:lang w:val="en-GB"/>
        </w:rPr>
        <w:t xml:space="preserve">ntico </w:t>
      </w:r>
      <w:proofErr w:type="spellStart"/>
      <w:r w:rsidR="00D7534E" w:rsidRPr="00B55B1D">
        <w:rPr>
          <w:rFonts w:ascii="Times New Roman" w:hAnsi="Times New Roman"/>
          <w:lang w:val="en-GB"/>
        </w:rPr>
        <w:t>Norte</w:t>
      </w:r>
      <w:proofErr w:type="spellEnd"/>
      <w:r w:rsidR="00D7534E" w:rsidRPr="00B55B1D">
        <w:rPr>
          <w:rFonts w:ascii="Times New Roman" w:hAnsi="Times New Roman"/>
          <w:lang w:val="en-GB"/>
        </w:rPr>
        <w:t xml:space="preserve">, </w:t>
      </w:r>
      <w:proofErr w:type="spellStart"/>
      <w:r w:rsidR="004A7171" w:rsidRPr="00B55B1D">
        <w:rPr>
          <w:rFonts w:ascii="Times New Roman" w:hAnsi="Times New Roman"/>
          <w:lang w:val="en-GB"/>
        </w:rPr>
        <w:t>Bilwi</w:t>
      </w:r>
      <w:proofErr w:type="spellEnd"/>
      <w:r w:rsidR="004A7171" w:rsidRPr="00B55B1D">
        <w:rPr>
          <w:rFonts w:ascii="Times New Roman" w:hAnsi="Times New Roman"/>
          <w:lang w:val="en-GB"/>
        </w:rPr>
        <w:t xml:space="preserve">, Nicaragua </w:t>
      </w:r>
      <w:r w:rsidR="00D7534E" w:rsidRPr="00B55B1D">
        <w:rPr>
          <w:rFonts w:ascii="Times New Roman" w:hAnsi="Times New Roman"/>
          <w:lang w:val="en-GB"/>
        </w:rPr>
        <w:t xml:space="preserve">(19 </w:t>
      </w:r>
      <w:r w:rsidR="0091579E" w:rsidRPr="00B55B1D">
        <w:rPr>
          <w:rFonts w:ascii="Times New Roman" w:hAnsi="Times New Roman"/>
          <w:lang w:val="en-GB"/>
        </w:rPr>
        <w:t>May</w:t>
      </w:r>
      <w:r w:rsidR="004A7171" w:rsidRPr="00B55B1D">
        <w:rPr>
          <w:rFonts w:ascii="Times New Roman" w:hAnsi="Times New Roman"/>
          <w:lang w:val="en-GB"/>
        </w:rPr>
        <w:t>).</w:t>
      </w:r>
    </w:p>
    <w:p w:rsidR="00067A63" w:rsidRPr="00B55B1D" w:rsidRDefault="0091579E" w:rsidP="00067A63">
      <w:pPr>
        <w:rPr>
          <w:rFonts w:ascii="Times New Roman" w:hAnsi="Times New Roman"/>
          <w:lang w:val="en-GB"/>
        </w:rPr>
      </w:pPr>
      <w:proofErr w:type="spellStart"/>
      <w:r w:rsidRPr="00B55B1D">
        <w:rPr>
          <w:rFonts w:ascii="Times New Roman" w:hAnsi="Times New Roman"/>
          <w:lang w:val="en-GB"/>
        </w:rPr>
        <w:t>Cronkleton</w:t>
      </w:r>
      <w:proofErr w:type="spellEnd"/>
      <w:r w:rsidRPr="00B55B1D">
        <w:rPr>
          <w:rFonts w:ascii="Times New Roman" w:hAnsi="Times New Roman"/>
          <w:lang w:val="en-GB"/>
        </w:rPr>
        <w:t xml:space="preserve">, P., P. Pacheco, R. </w:t>
      </w:r>
      <w:proofErr w:type="spellStart"/>
      <w:r w:rsidRPr="00B55B1D">
        <w:rPr>
          <w:rFonts w:ascii="Times New Roman" w:hAnsi="Times New Roman"/>
          <w:lang w:val="en-GB"/>
        </w:rPr>
        <w:t>Ibarguen</w:t>
      </w:r>
      <w:proofErr w:type="spellEnd"/>
      <w:r w:rsidRPr="00B55B1D">
        <w:rPr>
          <w:rFonts w:ascii="Times New Roman" w:hAnsi="Times New Roman"/>
          <w:lang w:val="en-GB"/>
        </w:rPr>
        <w:t xml:space="preserve">, and M. </w:t>
      </w:r>
      <w:proofErr w:type="spellStart"/>
      <w:r w:rsidRPr="00B55B1D">
        <w:rPr>
          <w:rFonts w:ascii="Times New Roman" w:hAnsi="Times New Roman"/>
          <w:lang w:val="en-GB"/>
        </w:rPr>
        <w:t>Albornoz</w:t>
      </w:r>
      <w:proofErr w:type="spellEnd"/>
      <w:r w:rsidRPr="00B55B1D">
        <w:rPr>
          <w:rFonts w:ascii="Times New Roman" w:hAnsi="Times New Roman"/>
          <w:lang w:val="en-GB"/>
        </w:rPr>
        <w:t xml:space="preserve"> </w:t>
      </w:r>
      <w:r w:rsidR="00527BF4" w:rsidRPr="00B55B1D">
        <w:rPr>
          <w:rFonts w:ascii="Times New Roman" w:hAnsi="Times New Roman"/>
          <w:lang w:val="en-GB"/>
        </w:rPr>
        <w:t>(</w:t>
      </w:r>
      <w:r w:rsidR="008C7900" w:rsidRPr="00B55B1D">
        <w:rPr>
          <w:rFonts w:ascii="Times New Roman" w:hAnsi="Times New Roman"/>
          <w:lang w:val="en-GB"/>
        </w:rPr>
        <w:t>2009</w:t>
      </w:r>
      <w:r w:rsidR="00527BF4" w:rsidRPr="00B55B1D">
        <w:rPr>
          <w:rFonts w:ascii="Times New Roman" w:hAnsi="Times New Roman"/>
          <w:lang w:val="en-GB"/>
        </w:rPr>
        <w:t>)</w:t>
      </w:r>
      <w:r w:rsidR="00067A63" w:rsidRPr="00B55B1D">
        <w:rPr>
          <w:rFonts w:ascii="Times New Roman" w:hAnsi="Times New Roman"/>
          <w:lang w:val="en-GB"/>
        </w:rPr>
        <w:t xml:space="preserve"> </w:t>
      </w:r>
      <w:proofErr w:type="spellStart"/>
      <w:r w:rsidR="00067A63" w:rsidRPr="00B55B1D">
        <w:rPr>
          <w:rFonts w:ascii="Times New Roman" w:hAnsi="Times New Roman"/>
          <w:i/>
          <w:lang w:val="en-GB"/>
        </w:rPr>
        <w:t>Reformas</w:t>
      </w:r>
      <w:proofErr w:type="spellEnd"/>
      <w:r w:rsidR="00067A63" w:rsidRPr="00B55B1D">
        <w:rPr>
          <w:rFonts w:ascii="Times New Roman" w:hAnsi="Times New Roman"/>
          <w:i/>
          <w:lang w:val="en-GB"/>
        </w:rPr>
        <w:t xml:space="preserve"> en la </w:t>
      </w:r>
      <w:proofErr w:type="spellStart"/>
      <w:r w:rsidR="00067A63" w:rsidRPr="00B55B1D">
        <w:rPr>
          <w:rFonts w:ascii="Times New Roman" w:hAnsi="Times New Roman"/>
          <w:i/>
          <w:lang w:val="en-GB"/>
        </w:rPr>
        <w:t>tenencia</w:t>
      </w:r>
      <w:proofErr w:type="spellEnd"/>
      <w:r w:rsidR="00067A63" w:rsidRPr="00B55B1D">
        <w:rPr>
          <w:rFonts w:ascii="Times New Roman" w:hAnsi="Times New Roman"/>
          <w:i/>
          <w:lang w:val="en-GB"/>
        </w:rPr>
        <w:t xml:space="preserve"> de la </w:t>
      </w:r>
      <w:proofErr w:type="spellStart"/>
      <w:r w:rsidR="00067A63" w:rsidRPr="00B55B1D">
        <w:rPr>
          <w:rFonts w:ascii="Times New Roman" w:hAnsi="Times New Roman"/>
          <w:i/>
          <w:lang w:val="en-GB"/>
        </w:rPr>
        <w:t>tierra</w:t>
      </w:r>
      <w:proofErr w:type="spellEnd"/>
      <w:r w:rsidR="00067A63" w:rsidRPr="00B55B1D">
        <w:rPr>
          <w:rFonts w:ascii="Times New Roman" w:hAnsi="Times New Roman"/>
          <w:i/>
          <w:lang w:val="en-GB"/>
        </w:rPr>
        <w:t xml:space="preserve"> y los </w:t>
      </w:r>
      <w:proofErr w:type="spellStart"/>
      <w:r w:rsidR="00067A63" w:rsidRPr="00B55B1D">
        <w:rPr>
          <w:rFonts w:ascii="Times New Roman" w:hAnsi="Times New Roman"/>
          <w:i/>
          <w:lang w:val="en-GB"/>
        </w:rPr>
        <w:t>bosques</w:t>
      </w:r>
      <w:proofErr w:type="spellEnd"/>
      <w:r w:rsidR="00067A63" w:rsidRPr="00B55B1D">
        <w:rPr>
          <w:rFonts w:ascii="Times New Roman" w:hAnsi="Times New Roman"/>
          <w:i/>
          <w:lang w:val="en-GB"/>
        </w:rPr>
        <w:t xml:space="preserve">: La </w:t>
      </w:r>
      <w:proofErr w:type="spellStart"/>
      <w:r w:rsidR="00067A63" w:rsidRPr="00B55B1D">
        <w:rPr>
          <w:rFonts w:ascii="Times New Roman" w:hAnsi="Times New Roman"/>
          <w:i/>
          <w:lang w:val="en-GB"/>
        </w:rPr>
        <w:t>gestión</w:t>
      </w:r>
      <w:proofErr w:type="spellEnd"/>
      <w:r w:rsidR="00067A63" w:rsidRPr="00B55B1D">
        <w:rPr>
          <w:rFonts w:ascii="Times New Roman" w:hAnsi="Times New Roman"/>
          <w:i/>
          <w:lang w:val="en-GB"/>
        </w:rPr>
        <w:t xml:space="preserve"> </w:t>
      </w:r>
      <w:proofErr w:type="spellStart"/>
      <w:r w:rsidR="00067A63" w:rsidRPr="00B55B1D">
        <w:rPr>
          <w:rFonts w:ascii="Times New Roman" w:hAnsi="Times New Roman"/>
          <w:i/>
          <w:lang w:val="en-GB"/>
        </w:rPr>
        <w:t>comunal</w:t>
      </w:r>
      <w:proofErr w:type="spellEnd"/>
      <w:r w:rsidR="00067A63" w:rsidRPr="00B55B1D">
        <w:rPr>
          <w:rFonts w:ascii="Times New Roman" w:hAnsi="Times New Roman"/>
          <w:i/>
          <w:lang w:val="en-GB"/>
        </w:rPr>
        <w:t xml:space="preserve"> en </w:t>
      </w:r>
      <w:proofErr w:type="spellStart"/>
      <w:r w:rsidR="00067A63" w:rsidRPr="00B55B1D">
        <w:rPr>
          <w:rFonts w:ascii="Times New Roman" w:hAnsi="Times New Roman"/>
          <w:i/>
          <w:lang w:val="en-GB"/>
        </w:rPr>
        <w:t>las</w:t>
      </w:r>
      <w:proofErr w:type="spellEnd"/>
      <w:r w:rsidR="00067A63" w:rsidRPr="00B55B1D">
        <w:rPr>
          <w:rFonts w:ascii="Times New Roman" w:hAnsi="Times New Roman"/>
          <w:i/>
          <w:lang w:val="en-GB"/>
        </w:rPr>
        <w:t xml:space="preserve"> </w:t>
      </w:r>
      <w:proofErr w:type="spellStart"/>
      <w:r w:rsidR="00067A63" w:rsidRPr="00B55B1D">
        <w:rPr>
          <w:rFonts w:ascii="Times New Roman" w:hAnsi="Times New Roman"/>
          <w:i/>
          <w:lang w:val="en-GB"/>
        </w:rPr>
        <w:t>tierras</w:t>
      </w:r>
      <w:proofErr w:type="spellEnd"/>
      <w:r w:rsidR="00067A63" w:rsidRPr="00B55B1D">
        <w:rPr>
          <w:rFonts w:ascii="Times New Roman" w:hAnsi="Times New Roman"/>
          <w:i/>
          <w:lang w:val="en-GB"/>
        </w:rPr>
        <w:t xml:space="preserve"> </w:t>
      </w:r>
      <w:proofErr w:type="spellStart"/>
      <w:r w:rsidR="00067A63" w:rsidRPr="00B55B1D">
        <w:rPr>
          <w:rFonts w:ascii="Times New Roman" w:hAnsi="Times New Roman"/>
          <w:i/>
          <w:lang w:val="en-GB"/>
        </w:rPr>
        <w:t>bajas</w:t>
      </w:r>
      <w:proofErr w:type="spellEnd"/>
      <w:r w:rsidR="00067A63" w:rsidRPr="00B55B1D">
        <w:rPr>
          <w:rFonts w:ascii="Times New Roman" w:hAnsi="Times New Roman"/>
          <w:i/>
          <w:lang w:val="en-GB"/>
        </w:rPr>
        <w:t xml:space="preserve"> de Bolivia</w:t>
      </w:r>
      <w:r w:rsidR="00067A63" w:rsidRPr="00B55B1D">
        <w:rPr>
          <w:rFonts w:ascii="Times New Roman" w:hAnsi="Times New Roman"/>
          <w:lang w:val="en-GB"/>
        </w:rPr>
        <w:t>. La Paz, Bolivia: CIFOR and CEDLA.</w:t>
      </w:r>
    </w:p>
    <w:p w:rsidR="00067A63" w:rsidRPr="00B55B1D" w:rsidRDefault="00067A63" w:rsidP="00067A63">
      <w:pPr>
        <w:tabs>
          <w:tab w:val="left" w:pos="426"/>
        </w:tabs>
        <w:rPr>
          <w:rFonts w:ascii="Times New Roman" w:hAnsi="Times New Roman"/>
          <w:lang w:val="en-GB"/>
        </w:rPr>
      </w:pPr>
      <w:proofErr w:type="spellStart"/>
      <w:proofErr w:type="gramStart"/>
      <w:r w:rsidRPr="00B55B1D">
        <w:rPr>
          <w:rFonts w:ascii="Times New Roman" w:hAnsi="Times New Roman"/>
          <w:lang w:val="en-GB"/>
        </w:rPr>
        <w:t>D</w:t>
      </w:r>
      <w:r w:rsidR="004A7171" w:rsidRPr="00B55B1D">
        <w:rPr>
          <w:rFonts w:ascii="Times New Roman" w:hAnsi="Times New Roman"/>
          <w:lang w:val="en-GB"/>
        </w:rPr>
        <w:t>ahal</w:t>
      </w:r>
      <w:proofErr w:type="spellEnd"/>
      <w:r w:rsidR="004A7171" w:rsidRPr="00B55B1D">
        <w:rPr>
          <w:rFonts w:ascii="Times New Roman" w:hAnsi="Times New Roman"/>
          <w:lang w:val="en-GB"/>
        </w:rPr>
        <w:t>, G.R.</w:t>
      </w:r>
      <w:r w:rsidR="008C7900" w:rsidRPr="00B55B1D">
        <w:rPr>
          <w:rFonts w:ascii="Times New Roman" w:hAnsi="Times New Roman"/>
          <w:lang w:val="en-GB"/>
        </w:rPr>
        <w:t xml:space="preserve"> and K.P. </w:t>
      </w:r>
      <w:proofErr w:type="spellStart"/>
      <w:r w:rsidR="008C7900" w:rsidRPr="00B55B1D">
        <w:rPr>
          <w:rFonts w:ascii="Times New Roman" w:hAnsi="Times New Roman"/>
          <w:lang w:val="en-GB"/>
        </w:rPr>
        <w:t>Adhikari</w:t>
      </w:r>
      <w:proofErr w:type="spellEnd"/>
      <w:r w:rsidR="008C7900" w:rsidRPr="00B55B1D">
        <w:rPr>
          <w:rFonts w:ascii="Times New Roman" w:hAnsi="Times New Roman"/>
          <w:lang w:val="en-GB"/>
        </w:rPr>
        <w:t xml:space="preserve"> </w:t>
      </w:r>
      <w:r w:rsidR="00527BF4" w:rsidRPr="00B55B1D">
        <w:rPr>
          <w:rFonts w:ascii="Times New Roman" w:hAnsi="Times New Roman"/>
          <w:lang w:val="en-GB"/>
        </w:rPr>
        <w:t>(</w:t>
      </w:r>
      <w:r w:rsidR="008C7900" w:rsidRPr="00B55B1D">
        <w:rPr>
          <w:rFonts w:ascii="Times New Roman" w:hAnsi="Times New Roman"/>
          <w:lang w:val="en-GB"/>
        </w:rPr>
        <w:t>2008</w:t>
      </w:r>
      <w:r w:rsidR="00527BF4" w:rsidRPr="00B55B1D">
        <w:rPr>
          <w:rFonts w:ascii="Times New Roman" w:hAnsi="Times New Roman"/>
          <w:lang w:val="en-GB"/>
        </w:rPr>
        <w:t>)</w:t>
      </w:r>
      <w:r w:rsidRPr="00B55B1D">
        <w:rPr>
          <w:rFonts w:ascii="Times New Roman" w:hAnsi="Times New Roman"/>
          <w:lang w:val="en-GB"/>
        </w:rPr>
        <w:t xml:space="preserve"> </w:t>
      </w:r>
      <w:r w:rsidR="004A7171" w:rsidRPr="00B55B1D">
        <w:rPr>
          <w:rFonts w:ascii="Times New Roman" w:hAnsi="Times New Roman"/>
          <w:lang w:val="en-GB"/>
        </w:rPr>
        <w:t>‘</w:t>
      </w:r>
      <w:r w:rsidRPr="00B55B1D">
        <w:rPr>
          <w:rFonts w:ascii="Times New Roman" w:hAnsi="Times New Roman"/>
          <w:lang w:val="en-GB"/>
        </w:rPr>
        <w:t>Bridging, linking and bonding social capital in collective action</w:t>
      </w:r>
      <w:r w:rsidR="004A7171" w:rsidRPr="00B55B1D">
        <w:rPr>
          <w:rFonts w:ascii="Times New Roman" w:hAnsi="Times New Roman"/>
          <w:lang w:val="en-GB"/>
        </w:rPr>
        <w:t>’</w:t>
      </w:r>
      <w:r w:rsidRPr="00B55B1D">
        <w:rPr>
          <w:rFonts w:ascii="Times New Roman" w:hAnsi="Times New Roman"/>
          <w:lang w:val="en-GB"/>
        </w:rPr>
        <w:t>.</w:t>
      </w:r>
      <w:proofErr w:type="gramEnd"/>
      <w:r w:rsidRPr="00B55B1D">
        <w:rPr>
          <w:rFonts w:ascii="Times New Roman" w:hAnsi="Times New Roman"/>
          <w:lang w:val="en-GB"/>
        </w:rPr>
        <w:t xml:space="preserve"> Working Paper 79. Washington, DC: </w:t>
      </w:r>
      <w:proofErr w:type="spellStart"/>
      <w:r w:rsidRPr="00B55B1D">
        <w:rPr>
          <w:rFonts w:ascii="Times New Roman" w:hAnsi="Times New Roman"/>
          <w:lang w:val="en-GB"/>
        </w:rPr>
        <w:t>CAPRi</w:t>
      </w:r>
      <w:proofErr w:type="spellEnd"/>
      <w:r w:rsidRPr="00B55B1D">
        <w:rPr>
          <w:rFonts w:ascii="Times New Roman" w:hAnsi="Times New Roman"/>
          <w:lang w:val="en-GB"/>
        </w:rPr>
        <w:t>.</w:t>
      </w:r>
    </w:p>
    <w:p w:rsidR="00067A63" w:rsidRPr="00B55B1D" w:rsidRDefault="008C7900" w:rsidP="00067A63">
      <w:pPr>
        <w:tabs>
          <w:tab w:val="left" w:pos="426"/>
        </w:tabs>
        <w:rPr>
          <w:rFonts w:ascii="Times New Roman" w:hAnsi="Times New Roman"/>
          <w:lang w:val="en-GB"/>
        </w:rPr>
      </w:pPr>
      <w:proofErr w:type="gramStart"/>
      <w:r w:rsidRPr="00B55B1D">
        <w:rPr>
          <w:rFonts w:ascii="Times New Roman" w:hAnsi="Times New Roman"/>
          <w:lang w:val="en-GB"/>
        </w:rPr>
        <w:t xml:space="preserve">Davis, S.H. and A. </w:t>
      </w:r>
      <w:proofErr w:type="spellStart"/>
      <w:r w:rsidRPr="00B55B1D">
        <w:rPr>
          <w:rFonts w:ascii="Times New Roman" w:hAnsi="Times New Roman"/>
          <w:lang w:val="en-GB"/>
        </w:rPr>
        <w:t>Wali</w:t>
      </w:r>
      <w:proofErr w:type="spellEnd"/>
      <w:r w:rsidRPr="00B55B1D">
        <w:rPr>
          <w:rFonts w:ascii="Times New Roman" w:hAnsi="Times New Roman"/>
          <w:lang w:val="en-GB"/>
        </w:rPr>
        <w:t xml:space="preserve"> </w:t>
      </w:r>
      <w:r w:rsidR="00527BF4" w:rsidRPr="00B55B1D">
        <w:rPr>
          <w:rFonts w:ascii="Times New Roman" w:hAnsi="Times New Roman"/>
          <w:lang w:val="en-GB"/>
        </w:rPr>
        <w:t>(</w:t>
      </w:r>
      <w:r w:rsidRPr="00B55B1D">
        <w:rPr>
          <w:rFonts w:ascii="Times New Roman" w:hAnsi="Times New Roman"/>
          <w:lang w:val="en-GB"/>
        </w:rPr>
        <w:t>1994</w:t>
      </w:r>
      <w:r w:rsidR="00527BF4" w:rsidRPr="00B55B1D">
        <w:rPr>
          <w:rFonts w:ascii="Times New Roman" w:hAnsi="Times New Roman"/>
          <w:lang w:val="en-GB"/>
        </w:rPr>
        <w:t>)</w:t>
      </w:r>
      <w:r w:rsidR="00067A63" w:rsidRPr="00B55B1D">
        <w:rPr>
          <w:rFonts w:ascii="Times New Roman" w:hAnsi="Times New Roman"/>
          <w:lang w:val="en-GB"/>
        </w:rPr>
        <w:t xml:space="preserve"> </w:t>
      </w:r>
      <w:r w:rsidR="004A7171" w:rsidRPr="00B55B1D">
        <w:rPr>
          <w:rFonts w:ascii="Times New Roman" w:hAnsi="Times New Roman"/>
          <w:lang w:val="en-GB"/>
        </w:rPr>
        <w:t>‘</w:t>
      </w:r>
      <w:r w:rsidR="00067A63" w:rsidRPr="00B55B1D">
        <w:rPr>
          <w:rFonts w:ascii="Times New Roman" w:hAnsi="Times New Roman"/>
          <w:lang w:val="en-GB"/>
        </w:rPr>
        <w:t>Indigenous land tenure and tropical for</w:t>
      </w:r>
      <w:r w:rsidR="004A7171" w:rsidRPr="00B55B1D">
        <w:rPr>
          <w:rFonts w:ascii="Times New Roman" w:hAnsi="Times New Roman"/>
          <w:lang w:val="en-GB"/>
        </w:rPr>
        <w:t>est management in Latin America’,</w:t>
      </w:r>
      <w:r w:rsidR="00067A63" w:rsidRPr="00B55B1D">
        <w:rPr>
          <w:rFonts w:ascii="Times New Roman" w:hAnsi="Times New Roman"/>
          <w:lang w:val="en-GB"/>
        </w:rPr>
        <w:t xml:space="preserve"> </w:t>
      </w:r>
      <w:proofErr w:type="spellStart"/>
      <w:r w:rsidR="00067A63" w:rsidRPr="00B55B1D">
        <w:rPr>
          <w:rFonts w:ascii="Times New Roman" w:hAnsi="Times New Roman"/>
          <w:i/>
          <w:lang w:val="en-GB"/>
        </w:rPr>
        <w:t>Ambio</w:t>
      </w:r>
      <w:proofErr w:type="spellEnd"/>
      <w:r w:rsidR="004A7171" w:rsidRPr="00B55B1D">
        <w:rPr>
          <w:rFonts w:ascii="Times New Roman" w:hAnsi="Times New Roman"/>
          <w:i/>
          <w:lang w:val="en-GB"/>
        </w:rPr>
        <w:t xml:space="preserve"> </w:t>
      </w:r>
      <w:r w:rsidR="004A7171" w:rsidRPr="00B55B1D">
        <w:rPr>
          <w:rFonts w:ascii="Times New Roman" w:hAnsi="Times New Roman"/>
          <w:lang w:val="en-GB"/>
        </w:rPr>
        <w:t>23(</w:t>
      </w:r>
      <w:r w:rsidR="00067A63" w:rsidRPr="00B55B1D">
        <w:rPr>
          <w:rFonts w:ascii="Times New Roman" w:hAnsi="Times New Roman"/>
          <w:lang w:val="en-GB"/>
        </w:rPr>
        <w:t>8</w:t>
      </w:r>
      <w:r w:rsidR="004A7171" w:rsidRPr="00B55B1D">
        <w:rPr>
          <w:rFonts w:ascii="Times New Roman" w:hAnsi="Times New Roman"/>
          <w:lang w:val="en-GB"/>
        </w:rPr>
        <w:t>): 485-</w:t>
      </w:r>
      <w:r w:rsidR="00067A63" w:rsidRPr="00B55B1D">
        <w:rPr>
          <w:rFonts w:ascii="Times New Roman" w:hAnsi="Times New Roman"/>
          <w:lang w:val="en-GB"/>
        </w:rPr>
        <w:t>90.</w:t>
      </w:r>
      <w:proofErr w:type="gramEnd"/>
    </w:p>
    <w:p w:rsidR="00067A63" w:rsidRPr="00B55B1D" w:rsidRDefault="008C7900" w:rsidP="00067A63">
      <w:pPr>
        <w:tabs>
          <w:tab w:val="left" w:pos="426"/>
        </w:tabs>
        <w:rPr>
          <w:rFonts w:ascii="Times New Roman" w:hAnsi="Times New Roman"/>
          <w:lang w:val="en-GB"/>
        </w:rPr>
      </w:pPr>
      <w:proofErr w:type="spellStart"/>
      <w:r w:rsidRPr="00B55B1D">
        <w:rPr>
          <w:rFonts w:ascii="Times New Roman" w:hAnsi="Times New Roman"/>
          <w:lang w:val="en-GB"/>
        </w:rPr>
        <w:t>Deephouse</w:t>
      </w:r>
      <w:proofErr w:type="spellEnd"/>
      <w:r w:rsidRPr="00B55B1D">
        <w:rPr>
          <w:rFonts w:ascii="Times New Roman" w:hAnsi="Times New Roman"/>
          <w:lang w:val="en-GB"/>
        </w:rPr>
        <w:t>, D.</w:t>
      </w:r>
      <w:r w:rsidR="004A7171" w:rsidRPr="00B55B1D">
        <w:rPr>
          <w:rFonts w:ascii="Times New Roman" w:hAnsi="Times New Roman"/>
          <w:lang w:val="en-GB"/>
        </w:rPr>
        <w:t xml:space="preserve">L. </w:t>
      </w:r>
      <w:r w:rsidR="00067A63" w:rsidRPr="00B55B1D">
        <w:rPr>
          <w:rFonts w:ascii="Times New Roman" w:hAnsi="Times New Roman"/>
          <w:lang w:val="en-GB"/>
        </w:rPr>
        <w:t xml:space="preserve">and </w:t>
      </w:r>
      <w:r w:rsidRPr="00B55B1D">
        <w:rPr>
          <w:rFonts w:ascii="Times New Roman" w:hAnsi="Times New Roman"/>
          <w:lang w:val="en-GB"/>
        </w:rPr>
        <w:t xml:space="preserve">M.C. </w:t>
      </w:r>
      <w:proofErr w:type="spellStart"/>
      <w:r w:rsidRPr="00B55B1D">
        <w:rPr>
          <w:rFonts w:ascii="Times New Roman" w:hAnsi="Times New Roman"/>
          <w:lang w:val="en-GB"/>
        </w:rPr>
        <w:t>Suchman</w:t>
      </w:r>
      <w:proofErr w:type="spellEnd"/>
      <w:r w:rsidR="00067A63" w:rsidRPr="00B55B1D">
        <w:rPr>
          <w:rFonts w:ascii="Times New Roman" w:hAnsi="Times New Roman"/>
          <w:lang w:val="en-GB"/>
        </w:rPr>
        <w:t xml:space="preserve"> </w:t>
      </w:r>
      <w:r w:rsidR="00527BF4" w:rsidRPr="00B55B1D">
        <w:rPr>
          <w:rFonts w:ascii="Times New Roman" w:hAnsi="Times New Roman"/>
          <w:lang w:val="en-GB"/>
        </w:rPr>
        <w:t>(</w:t>
      </w:r>
      <w:r w:rsidRPr="00B55B1D">
        <w:rPr>
          <w:rFonts w:ascii="Times New Roman" w:hAnsi="Times New Roman"/>
          <w:lang w:val="en-GB"/>
        </w:rPr>
        <w:t>2008</w:t>
      </w:r>
      <w:r w:rsidR="00527BF4" w:rsidRPr="00B55B1D">
        <w:rPr>
          <w:rFonts w:ascii="Times New Roman" w:hAnsi="Times New Roman"/>
          <w:lang w:val="en-GB"/>
        </w:rPr>
        <w:t>)</w:t>
      </w:r>
      <w:r w:rsidR="00067A63" w:rsidRPr="00B55B1D">
        <w:rPr>
          <w:rFonts w:ascii="Times New Roman" w:hAnsi="Times New Roman"/>
          <w:lang w:val="en-GB"/>
        </w:rPr>
        <w:t xml:space="preserve"> </w:t>
      </w:r>
      <w:r w:rsidR="004A7171" w:rsidRPr="00B55B1D">
        <w:rPr>
          <w:rFonts w:ascii="Times New Roman" w:hAnsi="Times New Roman"/>
          <w:lang w:val="en-GB"/>
        </w:rPr>
        <w:t>‘</w:t>
      </w:r>
      <w:r w:rsidR="00067A63" w:rsidRPr="00B55B1D">
        <w:rPr>
          <w:rFonts w:ascii="Times New Roman" w:hAnsi="Times New Roman"/>
          <w:lang w:val="en-GB"/>
        </w:rPr>
        <w:t>Legitimacy in Organizational Institutionalism</w:t>
      </w:r>
      <w:r w:rsidR="004A7171" w:rsidRPr="00B55B1D">
        <w:rPr>
          <w:rFonts w:ascii="Times New Roman" w:hAnsi="Times New Roman"/>
          <w:lang w:val="en-GB"/>
        </w:rPr>
        <w:t>’</w:t>
      </w:r>
      <w:r w:rsidR="00067A63" w:rsidRPr="00B55B1D">
        <w:rPr>
          <w:rFonts w:ascii="Times New Roman" w:hAnsi="Times New Roman"/>
          <w:lang w:val="en-GB"/>
        </w:rPr>
        <w:t>, in R. Greenwood, C. Ol</w:t>
      </w:r>
      <w:r w:rsidR="004A7171" w:rsidRPr="00B55B1D">
        <w:rPr>
          <w:rFonts w:ascii="Times New Roman" w:hAnsi="Times New Roman"/>
          <w:lang w:val="en-GB"/>
        </w:rPr>
        <w:t xml:space="preserve">iver, K. </w:t>
      </w:r>
      <w:proofErr w:type="spellStart"/>
      <w:r w:rsidR="004A7171" w:rsidRPr="00B55B1D">
        <w:rPr>
          <w:rFonts w:ascii="Times New Roman" w:hAnsi="Times New Roman"/>
          <w:lang w:val="en-GB"/>
        </w:rPr>
        <w:t>Sahlin</w:t>
      </w:r>
      <w:proofErr w:type="spellEnd"/>
      <w:r w:rsidR="004A7171" w:rsidRPr="00B55B1D">
        <w:rPr>
          <w:rFonts w:ascii="Times New Roman" w:hAnsi="Times New Roman"/>
          <w:lang w:val="en-GB"/>
        </w:rPr>
        <w:t xml:space="preserve"> and</w:t>
      </w:r>
      <w:r w:rsidR="00527BF4" w:rsidRPr="00B55B1D">
        <w:rPr>
          <w:rFonts w:ascii="Times New Roman" w:hAnsi="Times New Roman"/>
          <w:lang w:val="en-GB"/>
        </w:rPr>
        <w:t xml:space="preserve"> R. </w:t>
      </w:r>
      <w:proofErr w:type="spellStart"/>
      <w:r w:rsidR="00527BF4" w:rsidRPr="00B55B1D">
        <w:rPr>
          <w:rFonts w:ascii="Times New Roman" w:hAnsi="Times New Roman"/>
          <w:lang w:val="en-GB"/>
        </w:rPr>
        <w:t>Suddaby</w:t>
      </w:r>
      <w:proofErr w:type="spellEnd"/>
      <w:r w:rsidR="00527BF4" w:rsidRPr="00B55B1D">
        <w:rPr>
          <w:rFonts w:ascii="Times New Roman" w:hAnsi="Times New Roman"/>
          <w:lang w:val="en-GB"/>
        </w:rPr>
        <w:t xml:space="preserve"> (</w:t>
      </w:r>
      <w:proofErr w:type="spellStart"/>
      <w:r w:rsidR="00527BF4" w:rsidRPr="00B55B1D">
        <w:rPr>
          <w:rFonts w:ascii="Times New Roman" w:hAnsi="Times New Roman"/>
          <w:lang w:val="en-GB"/>
        </w:rPr>
        <w:t>e</w:t>
      </w:r>
      <w:r w:rsidR="004A7171" w:rsidRPr="00B55B1D">
        <w:rPr>
          <w:rFonts w:ascii="Times New Roman" w:hAnsi="Times New Roman"/>
          <w:lang w:val="en-GB"/>
        </w:rPr>
        <w:t>ds</w:t>
      </w:r>
      <w:proofErr w:type="spellEnd"/>
      <w:r w:rsidR="004A7171" w:rsidRPr="00B55B1D">
        <w:rPr>
          <w:rFonts w:ascii="Times New Roman" w:hAnsi="Times New Roman"/>
          <w:lang w:val="en-GB"/>
        </w:rPr>
        <w:t>)</w:t>
      </w:r>
      <w:r w:rsidR="00067A63" w:rsidRPr="00B55B1D">
        <w:rPr>
          <w:rFonts w:ascii="Times New Roman" w:hAnsi="Times New Roman"/>
          <w:lang w:val="en-GB"/>
        </w:rPr>
        <w:t xml:space="preserve"> </w:t>
      </w:r>
      <w:r w:rsidR="00067A63" w:rsidRPr="00B55B1D">
        <w:rPr>
          <w:rFonts w:ascii="Times New Roman" w:hAnsi="Times New Roman"/>
          <w:i/>
          <w:lang w:val="en-GB"/>
        </w:rPr>
        <w:t>The SAGE Handbook of Organizational Institutionalism</w:t>
      </w:r>
      <w:r w:rsidR="00067A63" w:rsidRPr="00B55B1D">
        <w:rPr>
          <w:rFonts w:ascii="Times New Roman" w:hAnsi="Times New Roman"/>
          <w:lang w:val="en-GB"/>
        </w:rPr>
        <w:t>: 49-77. Thousand Oaks</w:t>
      </w:r>
      <w:r w:rsidR="004A7171" w:rsidRPr="00B55B1D">
        <w:rPr>
          <w:rFonts w:ascii="Times New Roman" w:hAnsi="Times New Roman"/>
          <w:lang w:val="en-GB"/>
        </w:rPr>
        <w:t>,</w:t>
      </w:r>
      <w:r w:rsidR="00067A63" w:rsidRPr="00B55B1D">
        <w:rPr>
          <w:rFonts w:ascii="Times New Roman" w:hAnsi="Times New Roman"/>
          <w:lang w:val="en-GB"/>
        </w:rPr>
        <w:t xml:space="preserve"> CA: Sage.</w:t>
      </w:r>
    </w:p>
    <w:p w:rsidR="00067A63" w:rsidRPr="00B55B1D" w:rsidRDefault="004A7171" w:rsidP="00067A63">
      <w:pPr>
        <w:rPr>
          <w:rFonts w:ascii="Times New Roman" w:hAnsi="Times New Roman"/>
          <w:lang w:val="en-GB"/>
        </w:rPr>
      </w:pPr>
      <w:proofErr w:type="spellStart"/>
      <w:r w:rsidRPr="00B55B1D">
        <w:rPr>
          <w:rFonts w:ascii="Times New Roman" w:hAnsi="Times New Roman"/>
          <w:lang w:val="en-GB"/>
        </w:rPr>
        <w:t>Dizon</w:t>
      </w:r>
      <w:proofErr w:type="spellEnd"/>
      <w:r w:rsidRPr="00B55B1D">
        <w:rPr>
          <w:rFonts w:ascii="Times New Roman" w:hAnsi="Times New Roman"/>
          <w:lang w:val="en-GB"/>
        </w:rPr>
        <w:t xml:space="preserve">, J.T., J.M. </w:t>
      </w:r>
      <w:proofErr w:type="spellStart"/>
      <w:r w:rsidRPr="00B55B1D">
        <w:rPr>
          <w:rFonts w:ascii="Times New Roman" w:hAnsi="Times New Roman"/>
          <w:lang w:val="en-GB"/>
        </w:rPr>
        <w:t>Pulhin</w:t>
      </w:r>
      <w:proofErr w:type="spellEnd"/>
      <w:r w:rsidR="008C7900" w:rsidRPr="00B55B1D">
        <w:rPr>
          <w:rFonts w:ascii="Times New Roman" w:hAnsi="Times New Roman"/>
          <w:lang w:val="en-GB"/>
        </w:rPr>
        <w:t xml:space="preserve"> and R.V.O. Cruz</w:t>
      </w:r>
      <w:r w:rsidR="00067A63" w:rsidRPr="00B55B1D">
        <w:rPr>
          <w:rFonts w:ascii="Times New Roman" w:hAnsi="Times New Roman"/>
          <w:lang w:val="en-GB"/>
        </w:rPr>
        <w:t xml:space="preserve"> </w:t>
      </w:r>
      <w:r w:rsidR="00527BF4" w:rsidRPr="00B55B1D">
        <w:rPr>
          <w:rFonts w:ascii="Times New Roman" w:hAnsi="Times New Roman"/>
          <w:lang w:val="en-GB"/>
        </w:rPr>
        <w:t>(</w:t>
      </w:r>
      <w:r w:rsidR="00067A63" w:rsidRPr="00B55B1D">
        <w:rPr>
          <w:rFonts w:ascii="Times New Roman" w:hAnsi="Times New Roman"/>
          <w:lang w:val="en-GB"/>
        </w:rPr>
        <w:t>2008</w:t>
      </w:r>
      <w:r w:rsidR="00527BF4" w:rsidRPr="00B55B1D">
        <w:rPr>
          <w:rFonts w:ascii="Times New Roman" w:hAnsi="Times New Roman"/>
          <w:lang w:val="en-GB"/>
        </w:rPr>
        <w:t>)</w:t>
      </w:r>
      <w:r w:rsidR="00067A63" w:rsidRPr="00B55B1D">
        <w:rPr>
          <w:rFonts w:ascii="Times New Roman" w:hAnsi="Times New Roman"/>
          <w:i/>
          <w:lang w:val="en-GB"/>
        </w:rPr>
        <w:t xml:space="preserve"> Improving equity and livelihoods in community forestry: the case of the </w:t>
      </w:r>
      <w:proofErr w:type="spellStart"/>
      <w:r w:rsidR="00067A63" w:rsidRPr="00B55B1D">
        <w:rPr>
          <w:rFonts w:ascii="Times New Roman" w:hAnsi="Times New Roman"/>
          <w:i/>
          <w:lang w:val="en-GB"/>
        </w:rPr>
        <w:t>Kalahan</w:t>
      </w:r>
      <w:proofErr w:type="spellEnd"/>
      <w:r w:rsidR="00067A63" w:rsidRPr="00B55B1D">
        <w:rPr>
          <w:rFonts w:ascii="Times New Roman" w:hAnsi="Times New Roman"/>
          <w:i/>
          <w:lang w:val="en-GB"/>
        </w:rPr>
        <w:t xml:space="preserve"> Educational Foundation in </w:t>
      </w:r>
      <w:proofErr w:type="spellStart"/>
      <w:r w:rsidR="00067A63" w:rsidRPr="00B55B1D">
        <w:rPr>
          <w:rFonts w:ascii="Times New Roman" w:hAnsi="Times New Roman"/>
          <w:i/>
          <w:lang w:val="en-GB"/>
        </w:rPr>
        <w:t>Imugan</w:t>
      </w:r>
      <w:proofErr w:type="spellEnd"/>
      <w:r w:rsidR="00067A63" w:rsidRPr="00B55B1D">
        <w:rPr>
          <w:rFonts w:ascii="Times New Roman" w:hAnsi="Times New Roman"/>
          <w:i/>
          <w:lang w:val="en-GB"/>
        </w:rPr>
        <w:t xml:space="preserve">, Sta. Fe, Nueva </w:t>
      </w:r>
      <w:proofErr w:type="spellStart"/>
      <w:r w:rsidR="00067A63" w:rsidRPr="00B55B1D">
        <w:rPr>
          <w:rFonts w:ascii="Times New Roman" w:hAnsi="Times New Roman"/>
          <w:i/>
          <w:lang w:val="en-GB"/>
        </w:rPr>
        <w:t>Vizcaya</w:t>
      </w:r>
      <w:proofErr w:type="spellEnd"/>
      <w:r w:rsidR="00067A63" w:rsidRPr="00B55B1D">
        <w:rPr>
          <w:rFonts w:ascii="Times New Roman" w:hAnsi="Times New Roman"/>
          <w:i/>
          <w:lang w:val="en-GB"/>
        </w:rPr>
        <w:t>, Philippines</w:t>
      </w:r>
      <w:r w:rsidR="00067A63" w:rsidRPr="00B55B1D">
        <w:rPr>
          <w:rFonts w:ascii="Times New Roman" w:hAnsi="Times New Roman"/>
          <w:lang w:val="en-GB"/>
        </w:rPr>
        <w:t xml:space="preserve">. Bogor, Indonesia: CIFOR and RRI. </w:t>
      </w:r>
    </w:p>
    <w:p w:rsidR="00067A63" w:rsidRPr="00B55B1D" w:rsidRDefault="00067A63" w:rsidP="00067A63">
      <w:pPr>
        <w:rPr>
          <w:rFonts w:ascii="Times New Roman" w:hAnsi="Times New Roman"/>
          <w:lang w:val="en-GB"/>
        </w:rPr>
      </w:pPr>
      <w:r w:rsidRPr="00B55B1D">
        <w:rPr>
          <w:rFonts w:ascii="Times New Roman" w:hAnsi="Times New Roman"/>
          <w:lang w:val="en-GB"/>
        </w:rPr>
        <w:t xml:space="preserve">Fay, D. </w:t>
      </w:r>
      <w:r w:rsidR="00527BF4" w:rsidRPr="00B55B1D">
        <w:rPr>
          <w:rFonts w:ascii="Times New Roman" w:hAnsi="Times New Roman"/>
          <w:lang w:val="en-GB"/>
        </w:rPr>
        <w:t>(</w:t>
      </w:r>
      <w:r w:rsidRPr="00B55B1D">
        <w:rPr>
          <w:rFonts w:ascii="Times New Roman" w:hAnsi="Times New Roman"/>
          <w:lang w:val="en-GB"/>
        </w:rPr>
        <w:t>2008</w:t>
      </w:r>
      <w:r w:rsidR="00527BF4" w:rsidRPr="00B55B1D">
        <w:rPr>
          <w:rFonts w:ascii="Times New Roman" w:hAnsi="Times New Roman"/>
          <w:lang w:val="en-GB"/>
        </w:rPr>
        <w:t>)</w:t>
      </w:r>
      <w:r w:rsidRPr="00B55B1D">
        <w:rPr>
          <w:rFonts w:ascii="Times New Roman" w:hAnsi="Times New Roman"/>
          <w:lang w:val="en-GB"/>
        </w:rPr>
        <w:t xml:space="preserve"> </w:t>
      </w:r>
      <w:r w:rsidR="004A7171" w:rsidRPr="00B55B1D">
        <w:rPr>
          <w:rFonts w:ascii="Times New Roman" w:hAnsi="Times New Roman"/>
          <w:lang w:val="en-GB"/>
        </w:rPr>
        <w:t>‘</w:t>
      </w:r>
      <w:r w:rsidRPr="00B55B1D">
        <w:rPr>
          <w:rFonts w:ascii="Times New Roman" w:hAnsi="Times New Roman"/>
          <w:lang w:val="en-GB"/>
        </w:rPr>
        <w:t>“Traditional authorities” and authority over land in South Africa</w:t>
      </w:r>
      <w:r w:rsidR="004A7171" w:rsidRPr="00B55B1D">
        <w:rPr>
          <w:rFonts w:ascii="Times New Roman" w:hAnsi="Times New Roman"/>
          <w:lang w:val="en-GB"/>
        </w:rPr>
        <w:t>’</w:t>
      </w:r>
      <w:r w:rsidRPr="00B55B1D">
        <w:rPr>
          <w:rFonts w:ascii="Times New Roman" w:hAnsi="Times New Roman"/>
          <w:lang w:val="en-GB"/>
        </w:rPr>
        <w:t>. Paper presented at Conference of the International Association for the Study of the</w:t>
      </w:r>
      <w:r w:rsidR="004A7171" w:rsidRPr="00B55B1D">
        <w:rPr>
          <w:rFonts w:ascii="Times New Roman" w:hAnsi="Times New Roman"/>
          <w:lang w:val="en-GB"/>
        </w:rPr>
        <w:t xml:space="preserve"> Commons (IASC),</w:t>
      </w:r>
      <w:r w:rsidRPr="00B55B1D">
        <w:rPr>
          <w:rFonts w:ascii="Times New Roman" w:hAnsi="Times New Roman"/>
          <w:lang w:val="en-GB"/>
        </w:rPr>
        <w:t xml:space="preserve"> </w:t>
      </w:r>
      <w:r w:rsidR="004A7171" w:rsidRPr="00B55B1D">
        <w:rPr>
          <w:rFonts w:ascii="Times New Roman" w:hAnsi="Times New Roman"/>
          <w:lang w:val="en-GB"/>
        </w:rPr>
        <w:t xml:space="preserve">Cheltenham, </w:t>
      </w:r>
      <w:proofErr w:type="gramStart"/>
      <w:r w:rsidR="004A7171" w:rsidRPr="00B55B1D">
        <w:rPr>
          <w:rFonts w:ascii="Times New Roman" w:hAnsi="Times New Roman"/>
          <w:lang w:val="en-GB"/>
        </w:rPr>
        <w:t>England</w:t>
      </w:r>
      <w:proofErr w:type="gramEnd"/>
      <w:r w:rsidR="004A7171" w:rsidRPr="00B55B1D">
        <w:rPr>
          <w:rFonts w:ascii="Times New Roman" w:hAnsi="Times New Roman"/>
          <w:lang w:val="en-GB"/>
        </w:rPr>
        <w:t xml:space="preserve"> (14-18</w:t>
      </w:r>
      <w:r w:rsidRPr="00B55B1D">
        <w:rPr>
          <w:rFonts w:ascii="Times New Roman" w:hAnsi="Times New Roman"/>
          <w:lang w:val="en-GB"/>
        </w:rPr>
        <w:t xml:space="preserve"> </w:t>
      </w:r>
      <w:r w:rsidR="004A7171" w:rsidRPr="00B55B1D">
        <w:rPr>
          <w:rFonts w:ascii="Times New Roman" w:hAnsi="Times New Roman"/>
          <w:lang w:val="en-GB"/>
        </w:rPr>
        <w:t>July).</w:t>
      </w:r>
    </w:p>
    <w:p w:rsidR="00067A63" w:rsidRPr="00B55B1D" w:rsidRDefault="008C7900" w:rsidP="00067A63">
      <w:pPr>
        <w:rPr>
          <w:rFonts w:ascii="Times New Roman" w:hAnsi="Times New Roman"/>
          <w:lang w:val="en-GB"/>
        </w:rPr>
      </w:pPr>
      <w:proofErr w:type="gramStart"/>
      <w:r w:rsidRPr="00B55B1D">
        <w:rPr>
          <w:rFonts w:ascii="Times New Roman" w:hAnsi="Times New Roman"/>
          <w:lang w:val="en-GB"/>
        </w:rPr>
        <w:t xml:space="preserve">Fitzpatrick, D. </w:t>
      </w:r>
      <w:r w:rsidR="00527BF4" w:rsidRPr="00B55B1D">
        <w:rPr>
          <w:rFonts w:ascii="Times New Roman" w:hAnsi="Times New Roman"/>
          <w:lang w:val="en-GB"/>
        </w:rPr>
        <w:t>(</w:t>
      </w:r>
      <w:r w:rsidRPr="00B55B1D">
        <w:rPr>
          <w:rFonts w:ascii="Times New Roman" w:hAnsi="Times New Roman"/>
          <w:lang w:val="en-GB"/>
        </w:rPr>
        <w:t>2005</w:t>
      </w:r>
      <w:r w:rsidR="00527BF4" w:rsidRPr="00B55B1D">
        <w:rPr>
          <w:rFonts w:ascii="Times New Roman" w:hAnsi="Times New Roman"/>
          <w:lang w:val="en-GB"/>
        </w:rPr>
        <w:t>)</w:t>
      </w:r>
      <w:r w:rsidR="00067A63" w:rsidRPr="00B55B1D">
        <w:rPr>
          <w:rFonts w:ascii="Times New Roman" w:hAnsi="Times New Roman"/>
          <w:lang w:val="en-GB"/>
        </w:rPr>
        <w:t xml:space="preserve"> </w:t>
      </w:r>
      <w:r w:rsidR="004A7171" w:rsidRPr="00B55B1D">
        <w:rPr>
          <w:rFonts w:ascii="Times New Roman" w:hAnsi="Times New Roman"/>
          <w:lang w:val="en-GB"/>
        </w:rPr>
        <w:t>‘</w:t>
      </w:r>
      <w:r w:rsidR="00067A63" w:rsidRPr="00B55B1D">
        <w:rPr>
          <w:rFonts w:ascii="Times New Roman" w:hAnsi="Times New Roman"/>
          <w:lang w:val="en-GB"/>
        </w:rPr>
        <w:t>“Best practice” options for the legal recognition of customary tenure</w:t>
      </w:r>
      <w:r w:rsidR="004A7171" w:rsidRPr="00B55B1D">
        <w:rPr>
          <w:rFonts w:ascii="Times New Roman" w:hAnsi="Times New Roman"/>
          <w:lang w:val="en-GB"/>
        </w:rPr>
        <w:t>’,</w:t>
      </w:r>
      <w:r w:rsidR="00067A63" w:rsidRPr="00B55B1D">
        <w:rPr>
          <w:rFonts w:ascii="Times New Roman" w:hAnsi="Times New Roman"/>
          <w:i/>
          <w:lang w:val="en-GB"/>
        </w:rPr>
        <w:t xml:space="preserve"> Development and Change</w:t>
      </w:r>
      <w:r w:rsidR="004A7171" w:rsidRPr="00B55B1D">
        <w:rPr>
          <w:rFonts w:ascii="Times New Roman" w:hAnsi="Times New Roman"/>
          <w:lang w:val="en-GB"/>
        </w:rPr>
        <w:t xml:space="preserve"> 36</w:t>
      </w:r>
      <w:r w:rsidR="00067A63" w:rsidRPr="00B55B1D">
        <w:rPr>
          <w:rFonts w:ascii="Times New Roman" w:hAnsi="Times New Roman"/>
          <w:lang w:val="en-GB"/>
        </w:rPr>
        <w:t>(3): 449-75.</w:t>
      </w:r>
      <w:proofErr w:type="gramEnd"/>
    </w:p>
    <w:p w:rsidR="00067A63" w:rsidRPr="00B55B1D" w:rsidRDefault="008C7900" w:rsidP="00067A63">
      <w:pPr>
        <w:rPr>
          <w:rFonts w:ascii="Times New Roman" w:hAnsi="Times New Roman"/>
          <w:lang w:val="en-GB"/>
        </w:rPr>
      </w:pPr>
      <w:r w:rsidRPr="00B55B1D">
        <w:rPr>
          <w:rFonts w:ascii="Times New Roman" w:hAnsi="Times New Roman"/>
          <w:lang w:val="en-GB"/>
        </w:rPr>
        <w:t xml:space="preserve">INEC </w:t>
      </w:r>
      <w:r w:rsidR="002B23D0" w:rsidRPr="00B55B1D">
        <w:rPr>
          <w:rFonts w:ascii="Times New Roman" w:hAnsi="Times New Roman"/>
          <w:lang w:val="en-GB"/>
        </w:rPr>
        <w:t xml:space="preserve">(National Institute of Statistics and Census) </w:t>
      </w:r>
      <w:r w:rsidR="00527BF4" w:rsidRPr="00B55B1D">
        <w:rPr>
          <w:rFonts w:ascii="Times New Roman" w:hAnsi="Times New Roman"/>
          <w:lang w:val="en-GB"/>
        </w:rPr>
        <w:t>(</w:t>
      </w:r>
      <w:r w:rsidRPr="00B55B1D">
        <w:rPr>
          <w:rFonts w:ascii="Times New Roman" w:hAnsi="Times New Roman"/>
          <w:lang w:val="en-GB"/>
        </w:rPr>
        <w:t>2005</w:t>
      </w:r>
      <w:r w:rsidR="00527BF4" w:rsidRPr="00B55B1D">
        <w:rPr>
          <w:rFonts w:ascii="Times New Roman" w:hAnsi="Times New Roman"/>
          <w:lang w:val="en-GB"/>
        </w:rPr>
        <w:t>)</w:t>
      </w:r>
      <w:r w:rsidR="00067A63" w:rsidRPr="00B55B1D">
        <w:rPr>
          <w:rFonts w:ascii="Times New Roman" w:hAnsi="Times New Roman"/>
          <w:lang w:val="en-GB"/>
        </w:rPr>
        <w:t xml:space="preserve"> </w:t>
      </w:r>
      <w:r w:rsidR="004A7171" w:rsidRPr="00B55B1D">
        <w:rPr>
          <w:rFonts w:ascii="Times New Roman" w:hAnsi="Times New Roman"/>
          <w:lang w:val="en-GB"/>
        </w:rPr>
        <w:t>‘</w:t>
      </w:r>
      <w:proofErr w:type="spellStart"/>
      <w:r w:rsidR="004A7171" w:rsidRPr="00B55B1D">
        <w:rPr>
          <w:rFonts w:ascii="Times New Roman" w:hAnsi="Times New Roman"/>
          <w:lang w:val="en-GB"/>
        </w:rPr>
        <w:t>Resumen</w:t>
      </w:r>
      <w:proofErr w:type="spellEnd"/>
      <w:r w:rsidR="004A7171" w:rsidRPr="00B55B1D">
        <w:rPr>
          <w:rFonts w:ascii="Times New Roman" w:hAnsi="Times New Roman"/>
          <w:lang w:val="en-GB"/>
        </w:rPr>
        <w:t xml:space="preserve"> </w:t>
      </w:r>
      <w:proofErr w:type="spellStart"/>
      <w:r w:rsidR="004A7171" w:rsidRPr="00B55B1D">
        <w:rPr>
          <w:rFonts w:ascii="Times New Roman" w:hAnsi="Times New Roman"/>
          <w:lang w:val="en-GB"/>
        </w:rPr>
        <w:t>Censal</w:t>
      </w:r>
      <w:proofErr w:type="spellEnd"/>
      <w:r w:rsidR="004A7171" w:rsidRPr="00B55B1D">
        <w:rPr>
          <w:rFonts w:ascii="Times New Roman" w:hAnsi="Times New Roman"/>
          <w:lang w:val="en-GB"/>
        </w:rPr>
        <w:t>:</w:t>
      </w:r>
      <w:r w:rsidR="00067A63" w:rsidRPr="00B55B1D">
        <w:rPr>
          <w:rFonts w:ascii="Times New Roman" w:hAnsi="Times New Roman"/>
          <w:lang w:val="en-GB"/>
        </w:rPr>
        <w:t xml:space="preserve"> VII </w:t>
      </w:r>
      <w:proofErr w:type="spellStart"/>
      <w:r w:rsidR="00067A63" w:rsidRPr="00B55B1D">
        <w:rPr>
          <w:rFonts w:ascii="Times New Roman" w:hAnsi="Times New Roman"/>
          <w:lang w:val="en-GB"/>
        </w:rPr>
        <w:t>Censo</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Población</w:t>
      </w:r>
      <w:proofErr w:type="spellEnd"/>
      <w:r w:rsidR="00067A63" w:rsidRPr="00B55B1D">
        <w:rPr>
          <w:rFonts w:ascii="Times New Roman" w:hAnsi="Times New Roman"/>
          <w:lang w:val="en-GB"/>
        </w:rPr>
        <w:t xml:space="preserve"> y IV de </w:t>
      </w:r>
      <w:proofErr w:type="spellStart"/>
      <w:r w:rsidR="00067A63" w:rsidRPr="00B55B1D">
        <w:rPr>
          <w:rFonts w:ascii="Times New Roman" w:hAnsi="Times New Roman"/>
          <w:lang w:val="en-GB"/>
        </w:rPr>
        <w:t>Vivienda</w:t>
      </w:r>
      <w:proofErr w:type="spellEnd"/>
      <w:r w:rsidR="004A7171" w:rsidRPr="00B55B1D">
        <w:rPr>
          <w:rFonts w:ascii="Times New Roman" w:hAnsi="Times New Roman"/>
          <w:lang w:val="en-GB"/>
        </w:rPr>
        <w:t>’ (Census Summary: Seventh Population and Fourth Housing Census)</w:t>
      </w:r>
      <w:r w:rsidR="00067A63" w:rsidRPr="00B55B1D">
        <w:rPr>
          <w:rFonts w:ascii="Times New Roman" w:hAnsi="Times New Roman"/>
          <w:lang w:val="en-GB"/>
        </w:rPr>
        <w:t xml:space="preserve">. </w:t>
      </w:r>
      <w:hyperlink r:id="rId10" w:history="1">
        <w:proofErr w:type="gramStart"/>
        <w:r w:rsidR="00067A63" w:rsidRPr="00B55B1D">
          <w:rPr>
            <w:rStyle w:val="Hyperlink"/>
            <w:rFonts w:ascii="Times New Roman" w:hAnsi="Times New Roman"/>
            <w:lang w:val="en-GB"/>
          </w:rPr>
          <w:t>www.inec.gob.ni/censos2005/ResumenCensal/Resumen2.pdf</w:t>
        </w:r>
      </w:hyperlink>
      <w:r w:rsidR="00067A63" w:rsidRPr="00B55B1D">
        <w:rPr>
          <w:rFonts w:ascii="Times New Roman" w:hAnsi="Times New Roman"/>
          <w:lang w:val="en-GB"/>
        </w:rPr>
        <w:t xml:space="preserve"> (accessed </w:t>
      </w:r>
      <w:r w:rsidR="004A7171" w:rsidRPr="00B55B1D">
        <w:rPr>
          <w:rFonts w:ascii="Times New Roman" w:hAnsi="Times New Roman"/>
          <w:lang w:val="en-GB"/>
        </w:rPr>
        <w:t xml:space="preserve">10 </w:t>
      </w:r>
      <w:r w:rsidR="00067A63" w:rsidRPr="00B55B1D">
        <w:rPr>
          <w:rFonts w:ascii="Times New Roman" w:hAnsi="Times New Roman"/>
          <w:lang w:val="en-GB"/>
        </w:rPr>
        <w:t>April 2008).</w:t>
      </w:r>
      <w:proofErr w:type="gramEnd"/>
    </w:p>
    <w:p w:rsidR="00067A63" w:rsidRPr="00B55B1D" w:rsidRDefault="00067A63" w:rsidP="00067A63">
      <w:pPr>
        <w:pStyle w:val="Heading1"/>
        <w:spacing w:before="2" w:after="2"/>
        <w:rPr>
          <w:rFonts w:ascii="Times New Roman" w:hAnsi="Times New Roman"/>
          <w:b w:val="0"/>
          <w:color w:val="auto"/>
          <w:sz w:val="24"/>
          <w:lang w:val="en-GB"/>
        </w:rPr>
      </w:pPr>
      <w:proofErr w:type="spellStart"/>
      <w:r w:rsidRPr="00B55B1D">
        <w:rPr>
          <w:rFonts w:ascii="Times New Roman" w:hAnsi="Times New Roman"/>
          <w:b w:val="0"/>
          <w:color w:val="auto"/>
          <w:sz w:val="24"/>
          <w:lang w:val="en-GB"/>
        </w:rPr>
        <w:t>Jackman</w:t>
      </w:r>
      <w:proofErr w:type="spellEnd"/>
      <w:r w:rsidRPr="00B55B1D">
        <w:rPr>
          <w:rFonts w:ascii="Times New Roman" w:hAnsi="Times New Roman"/>
          <w:b w:val="0"/>
          <w:color w:val="auto"/>
          <w:sz w:val="24"/>
          <w:lang w:val="en-GB"/>
        </w:rPr>
        <w:t xml:space="preserve">, R.W. </w:t>
      </w:r>
      <w:r w:rsidR="00527BF4" w:rsidRPr="00B55B1D">
        <w:rPr>
          <w:rFonts w:ascii="Times New Roman" w:hAnsi="Times New Roman"/>
          <w:b w:val="0"/>
          <w:color w:val="auto"/>
          <w:sz w:val="24"/>
          <w:lang w:val="en-GB"/>
        </w:rPr>
        <w:t>(</w:t>
      </w:r>
      <w:r w:rsidRPr="00B55B1D">
        <w:rPr>
          <w:rFonts w:ascii="Times New Roman" w:hAnsi="Times New Roman"/>
          <w:b w:val="0"/>
          <w:color w:val="auto"/>
          <w:sz w:val="24"/>
          <w:lang w:val="en-GB"/>
        </w:rPr>
        <w:t>1993</w:t>
      </w:r>
      <w:r w:rsidR="00527BF4" w:rsidRPr="00B55B1D">
        <w:rPr>
          <w:rFonts w:ascii="Times New Roman" w:hAnsi="Times New Roman"/>
          <w:b w:val="0"/>
          <w:color w:val="auto"/>
          <w:sz w:val="24"/>
          <w:lang w:val="en-GB"/>
        </w:rPr>
        <w:t>)</w:t>
      </w:r>
      <w:r w:rsidRPr="00B55B1D">
        <w:rPr>
          <w:rFonts w:ascii="Times New Roman" w:hAnsi="Times New Roman"/>
          <w:b w:val="0"/>
          <w:color w:val="auto"/>
          <w:sz w:val="24"/>
          <w:lang w:val="en-GB"/>
        </w:rPr>
        <w:t xml:space="preserve"> </w:t>
      </w:r>
      <w:r w:rsidRPr="00B55B1D">
        <w:rPr>
          <w:rFonts w:ascii="Times New Roman" w:hAnsi="Times New Roman"/>
          <w:b w:val="0"/>
          <w:i/>
          <w:color w:val="auto"/>
          <w:sz w:val="24"/>
          <w:lang w:val="en-GB"/>
        </w:rPr>
        <w:t xml:space="preserve">Power without force: </w:t>
      </w:r>
      <w:r w:rsidRPr="00B55B1D">
        <w:rPr>
          <w:rStyle w:val="subtitle1"/>
          <w:rFonts w:ascii="Times New Roman" w:hAnsi="Times New Roman"/>
          <w:b w:val="0"/>
          <w:i/>
          <w:color w:val="auto"/>
          <w:sz w:val="24"/>
          <w:lang w:val="en-GB"/>
        </w:rPr>
        <w:t>the political capacity of nation-states</w:t>
      </w:r>
      <w:r w:rsidRPr="00B55B1D">
        <w:rPr>
          <w:rStyle w:val="subtitle1"/>
          <w:rFonts w:ascii="Times New Roman" w:hAnsi="Times New Roman"/>
          <w:b w:val="0"/>
          <w:color w:val="auto"/>
          <w:sz w:val="24"/>
          <w:lang w:val="en-GB"/>
        </w:rPr>
        <w:t>. Michigan:</w:t>
      </w:r>
      <w:r w:rsidRPr="00B55B1D">
        <w:rPr>
          <w:rFonts w:ascii="Times New Roman" w:hAnsi="Times New Roman"/>
          <w:b w:val="0"/>
          <w:color w:val="auto"/>
          <w:sz w:val="24"/>
          <w:lang w:val="en-GB"/>
        </w:rPr>
        <w:t xml:space="preserve"> University of Michigan Press.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Larson, A.</w:t>
      </w:r>
      <w:r w:rsidR="008C7900" w:rsidRPr="00B55B1D">
        <w:rPr>
          <w:rFonts w:ascii="Times New Roman" w:hAnsi="Times New Roman"/>
          <w:lang w:val="en-GB"/>
        </w:rPr>
        <w:t xml:space="preserve">M. </w:t>
      </w:r>
      <w:r w:rsidR="00D7534E" w:rsidRPr="00B55B1D">
        <w:rPr>
          <w:rFonts w:ascii="Times New Roman" w:hAnsi="Times New Roman"/>
          <w:lang w:val="en-GB"/>
        </w:rPr>
        <w:t>(</w:t>
      </w:r>
      <w:r w:rsidR="008C7900" w:rsidRPr="00B55B1D">
        <w:rPr>
          <w:rFonts w:ascii="Times New Roman" w:hAnsi="Times New Roman"/>
          <w:lang w:val="en-GB"/>
        </w:rPr>
        <w:t>2010</w:t>
      </w:r>
      <w:r w:rsidR="00D7534E" w:rsidRPr="00B55B1D">
        <w:rPr>
          <w:rFonts w:ascii="Times New Roman" w:hAnsi="Times New Roman"/>
          <w:lang w:val="en-GB"/>
        </w:rPr>
        <w:t>)</w:t>
      </w:r>
      <w:r w:rsidRPr="00B55B1D">
        <w:rPr>
          <w:rFonts w:ascii="Times New Roman" w:hAnsi="Times New Roman"/>
          <w:lang w:val="en-GB"/>
        </w:rPr>
        <w:t xml:space="preserve"> </w:t>
      </w:r>
      <w:r w:rsidR="004A7171" w:rsidRPr="00B55B1D">
        <w:rPr>
          <w:rFonts w:ascii="Times New Roman" w:hAnsi="Times New Roman"/>
          <w:lang w:val="en-GB"/>
        </w:rPr>
        <w:t>‘Making the “rules of the game”</w:t>
      </w:r>
      <w:r w:rsidRPr="00B55B1D">
        <w:rPr>
          <w:rFonts w:ascii="Times New Roman" w:hAnsi="Times New Roman"/>
          <w:lang w:val="en-GB"/>
        </w:rPr>
        <w:t>: Constituting territory and authority in Nicaragua’s indigenous communities</w:t>
      </w:r>
      <w:r w:rsidR="004A7171" w:rsidRPr="00B55B1D">
        <w:rPr>
          <w:rFonts w:ascii="Times New Roman" w:hAnsi="Times New Roman"/>
          <w:lang w:val="en-GB"/>
        </w:rPr>
        <w:t>’,</w:t>
      </w:r>
      <w:r w:rsidRPr="00B55B1D">
        <w:rPr>
          <w:rFonts w:ascii="Times New Roman" w:hAnsi="Times New Roman"/>
          <w:lang w:val="en-GB"/>
        </w:rPr>
        <w:t xml:space="preserve"> </w:t>
      </w:r>
      <w:r w:rsidRPr="00B55B1D">
        <w:rPr>
          <w:rFonts w:ascii="Times New Roman" w:hAnsi="Times New Roman"/>
          <w:i/>
          <w:lang w:val="en-GB"/>
        </w:rPr>
        <w:t>Land Use Policy</w:t>
      </w:r>
      <w:r w:rsidRPr="00B55B1D">
        <w:rPr>
          <w:rFonts w:ascii="Times New Roman" w:hAnsi="Times New Roman"/>
          <w:lang w:val="en-GB"/>
        </w:rPr>
        <w:t xml:space="preserve"> 27: 1143-52.</w:t>
      </w:r>
    </w:p>
    <w:p w:rsidR="00067A63" w:rsidRPr="00B55B1D" w:rsidRDefault="00067A63" w:rsidP="00067A63">
      <w:pPr>
        <w:spacing w:after="0"/>
        <w:rPr>
          <w:rFonts w:ascii="Times New Roman" w:hAnsi="Times New Roman"/>
          <w:lang w:val="en-GB"/>
        </w:rPr>
      </w:pPr>
    </w:p>
    <w:p w:rsidR="00067A63" w:rsidRPr="00B55B1D" w:rsidRDefault="0091579E" w:rsidP="00067A63">
      <w:pPr>
        <w:spacing w:after="0"/>
        <w:rPr>
          <w:rFonts w:ascii="Times New Roman" w:hAnsi="Times New Roman" w:cs="Helvetica"/>
          <w:lang w:val="en-GB"/>
        </w:rPr>
      </w:pPr>
      <w:proofErr w:type="gramStart"/>
      <w:r w:rsidRPr="00B55B1D">
        <w:rPr>
          <w:rFonts w:ascii="Times New Roman" w:hAnsi="Times New Roman"/>
          <w:lang w:val="en-GB"/>
        </w:rPr>
        <w:t xml:space="preserve">Larson, A.M. and J. Mendoza-Lewis </w:t>
      </w:r>
      <w:r w:rsidR="00D7534E" w:rsidRPr="00B55B1D">
        <w:rPr>
          <w:rFonts w:ascii="Times New Roman" w:hAnsi="Times New Roman"/>
          <w:lang w:val="en-GB"/>
        </w:rPr>
        <w:t>(</w:t>
      </w:r>
      <w:r w:rsidRPr="00B55B1D">
        <w:rPr>
          <w:rFonts w:ascii="Times New Roman" w:hAnsi="Times New Roman"/>
          <w:lang w:val="en-GB"/>
        </w:rPr>
        <w:t>2009</w:t>
      </w:r>
      <w:r w:rsidR="00D7534E" w:rsidRPr="00B55B1D">
        <w:rPr>
          <w:rFonts w:ascii="Times New Roman" w:hAnsi="Times New Roman"/>
          <w:lang w:val="en-GB"/>
        </w:rPr>
        <w:t>)</w:t>
      </w:r>
      <w:r w:rsidRPr="00B55B1D">
        <w:rPr>
          <w:rFonts w:ascii="Times New Roman" w:hAnsi="Times New Roman"/>
          <w:lang w:val="en-GB"/>
        </w:rPr>
        <w:t xml:space="preserve"> </w:t>
      </w:r>
      <w:proofErr w:type="spellStart"/>
      <w:r w:rsidR="00067A63" w:rsidRPr="00B55B1D">
        <w:rPr>
          <w:rFonts w:ascii="Times New Roman" w:hAnsi="Times New Roman"/>
          <w:i/>
          <w:lang w:val="en-GB"/>
        </w:rPr>
        <w:t>Desafios</w:t>
      </w:r>
      <w:proofErr w:type="spellEnd"/>
      <w:r w:rsidR="00067A63" w:rsidRPr="00B55B1D">
        <w:rPr>
          <w:rFonts w:ascii="Times New Roman" w:hAnsi="Times New Roman"/>
          <w:i/>
          <w:lang w:val="en-GB"/>
        </w:rPr>
        <w:t xml:space="preserve"> en la </w:t>
      </w:r>
      <w:proofErr w:type="spellStart"/>
      <w:r w:rsidR="00067A63" w:rsidRPr="00B55B1D">
        <w:rPr>
          <w:rFonts w:ascii="Times New Roman" w:hAnsi="Times New Roman"/>
          <w:i/>
          <w:lang w:val="en-GB"/>
        </w:rPr>
        <w:t>tenencia</w:t>
      </w:r>
      <w:proofErr w:type="spellEnd"/>
      <w:r w:rsidR="00067A63" w:rsidRPr="00B55B1D">
        <w:rPr>
          <w:rFonts w:ascii="Times New Roman" w:hAnsi="Times New Roman"/>
          <w:i/>
          <w:lang w:val="en-GB"/>
        </w:rPr>
        <w:t xml:space="preserve"> </w:t>
      </w:r>
      <w:proofErr w:type="spellStart"/>
      <w:r w:rsidR="00067A63" w:rsidRPr="00B55B1D">
        <w:rPr>
          <w:rFonts w:ascii="Times New Roman" w:hAnsi="Times New Roman"/>
          <w:i/>
          <w:lang w:val="en-GB"/>
        </w:rPr>
        <w:t>comunitaria</w:t>
      </w:r>
      <w:proofErr w:type="spellEnd"/>
      <w:r w:rsidR="00067A63" w:rsidRPr="00B55B1D">
        <w:rPr>
          <w:rFonts w:ascii="Times New Roman" w:hAnsi="Times New Roman"/>
          <w:i/>
          <w:lang w:val="en-GB"/>
        </w:rPr>
        <w:t xml:space="preserve"> de </w:t>
      </w:r>
      <w:proofErr w:type="spellStart"/>
      <w:r w:rsidR="00067A63" w:rsidRPr="00B55B1D">
        <w:rPr>
          <w:rFonts w:ascii="Times New Roman" w:hAnsi="Times New Roman"/>
          <w:i/>
          <w:lang w:val="en-GB"/>
        </w:rPr>
        <w:t>bosques</w:t>
      </w:r>
      <w:proofErr w:type="spellEnd"/>
      <w:r w:rsidR="00067A63" w:rsidRPr="00B55B1D">
        <w:rPr>
          <w:rFonts w:ascii="Times New Roman" w:hAnsi="Times New Roman"/>
          <w:i/>
          <w:lang w:val="en-GB"/>
        </w:rPr>
        <w:t xml:space="preserve"> en la RAAN de Nicaragua</w:t>
      </w:r>
      <w:r w:rsidR="004A7171" w:rsidRPr="00B55B1D">
        <w:rPr>
          <w:rFonts w:ascii="Times New Roman" w:hAnsi="Times New Roman"/>
          <w:i/>
          <w:lang w:val="en-GB"/>
        </w:rPr>
        <w:t xml:space="preserve"> (Challenge in community forest tenure in the RAAN of Nicaragua)</w:t>
      </w:r>
      <w:r w:rsidR="00067A63" w:rsidRPr="00B55B1D">
        <w:rPr>
          <w:rFonts w:ascii="Times New Roman" w:hAnsi="Times New Roman"/>
          <w:lang w:val="en-GB"/>
        </w:rPr>
        <w:t>.</w:t>
      </w:r>
      <w:proofErr w:type="gramEnd"/>
      <w:r w:rsidR="00067A63" w:rsidRPr="00B55B1D">
        <w:rPr>
          <w:rFonts w:ascii="Times New Roman" w:hAnsi="Times New Roman"/>
          <w:lang w:val="en-GB"/>
        </w:rPr>
        <w:t xml:space="preserve"> Managua: CIFOR and URACCAN.</w:t>
      </w:r>
    </w:p>
    <w:p w:rsidR="00067A63" w:rsidRPr="00B55B1D" w:rsidRDefault="00067A63" w:rsidP="00067A63">
      <w:pPr>
        <w:spacing w:after="0"/>
        <w:rPr>
          <w:rFonts w:ascii="Times New Roman" w:hAnsi="Times New Roman" w:cs="Helvetica"/>
          <w:lang w:val="en-GB"/>
        </w:rPr>
      </w:pPr>
    </w:p>
    <w:p w:rsidR="00527BF4" w:rsidRPr="00B55B1D" w:rsidRDefault="00527BF4" w:rsidP="00527BF4">
      <w:pPr>
        <w:spacing w:after="0"/>
        <w:rPr>
          <w:rFonts w:ascii="Times New Roman" w:hAnsi="Times New Roman"/>
          <w:lang w:val="en-GB"/>
        </w:rPr>
      </w:pPr>
      <w:r w:rsidRPr="00B55B1D">
        <w:rPr>
          <w:rFonts w:ascii="Times New Roman" w:hAnsi="Times New Roman"/>
          <w:lang w:val="en-GB"/>
        </w:rPr>
        <w:t xml:space="preserve">Larson, A.M., D. Barry and G.R. </w:t>
      </w:r>
      <w:proofErr w:type="spellStart"/>
      <w:r w:rsidRPr="00B55B1D">
        <w:rPr>
          <w:rFonts w:ascii="Times New Roman" w:hAnsi="Times New Roman"/>
          <w:lang w:val="en-GB"/>
        </w:rPr>
        <w:t>Dahal</w:t>
      </w:r>
      <w:proofErr w:type="spellEnd"/>
      <w:r w:rsidRPr="00B55B1D">
        <w:rPr>
          <w:rFonts w:ascii="Times New Roman" w:hAnsi="Times New Roman"/>
          <w:lang w:val="en-GB"/>
        </w:rPr>
        <w:t xml:space="preserve"> </w:t>
      </w:r>
      <w:r w:rsidR="00D7534E" w:rsidRPr="00B55B1D">
        <w:rPr>
          <w:rFonts w:ascii="Times New Roman" w:hAnsi="Times New Roman"/>
          <w:lang w:val="en-GB"/>
        </w:rPr>
        <w:t>(</w:t>
      </w:r>
      <w:r w:rsidRPr="00B55B1D">
        <w:rPr>
          <w:rFonts w:ascii="Times New Roman" w:hAnsi="Times New Roman"/>
          <w:lang w:val="en-GB"/>
        </w:rPr>
        <w:t>2010b</w:t>
      </w:r>
      <w:r w:rsidR="00D7534E" w:rsidRPr="00B55B1D">
        <w:rPr>
          <w:rFonts w:ascii="Times New Roman" w:hAnsi="Times New Roman"/>
          <w:lang w:val="en-GB"/>
        </w:rPr>
        <w:t>)</w:t>
      </w:r>
      <w:r w:rsidRPr="00B55B1D">
        <w:rPr>
          <w:rFonts w:ascii="Times New Roman" w:hAnsi="Times New Roman"/>
          <w:lang w:val="en-GB"/>
        </w:rPr>
        <w:t xml:space="preserve"> </w:t>
      </w:r>
      <w:r w:rsidR="004A7171" w:rsidRPr="00B55B1D">
        <w:rPr>
          <w:rFonts w:ascii="Times New Roman" w:hAnsi="Times New Roman"/>
          <w:lang w:val="en-GB"/>
        </w:rPr>
        <w:t>‘</w:t>
      </w:r>
      <w:r w:rsidRPr="00B55B1D">
        <w:rPr>
          <w:rFonts w:ascii="Times New Roman" w:hAnsi="Times New Roman"/>
          <w:lang w:val="en-GB"/>
        </w:rPr>
        <w:t>New rights for forest based communities: understanding processes of forest tenure reform</w:t>
      </w:r>
      <w:r w:rsidR="004A7171" w:rsidRPr="00B55B1D">
        <w:rPr>
          <w:rFonts w:ascii="Times New Roman" w:hAnsi="Times New Roman"/>
          <w:lang w:val="en-GB"/>
        </w:rPr>
        <w:t>’,</w:t>
      </w:r>
      <w:r w:rsidRPr="00B55B1D">
        <w:rPr>
          <w:rFonts w:ascii="Times New Roman" w:hAnsi="Times New Roman"/>
          <w:i/>
          <w:lang w:val="en-GB"/>
        </w:rPr>
        <w:t xml:space="preserve"> International Forestry Review </w:t>
      </w:r>
      <w:r w:rsidR="004A7171" w:rsidRPr="00B55B1D">
        <w:rPr>
          <w:rFonts w:ascii="Times New Roman" w:hAnsi="Times New Roman"/>
          <w:lang w:val="en-GB"/>
        </w:rPr>
        <w:t>12</w:t>
      </w:r>
      <w:r w:rsidRPr="00B55B1D">
        <w:rPr>
          <w:rFonts w:ascii="Times New Roman" w:hAnsi="Times New Roman"/>
          <w:lang w:val="en-GB"/>
        </w:rPr>
        <w:t>(1): 78-96.</w:t>
      </w:r>
    </w:p>
    <w:p w:rsidR="00527BF4" w:rsidRPr="00B55B1D" w:rsidRDefault="00527BF4" w:rsidP="00067A63">
      <w:pPr>
        <w:spacing w:after="0"/>
        <w:rPr>
          <w:rFonts w:ascii="Times New Roman" w:hAnsi="Times New Roman"/>
          <w:lang w:val="en-GB"/>
        </w:rPr>
      </w:pPr>
    </w:p>
    <w:p w:rsidR="00067A63" w:rsidRPr="00B55B1D" w:rsidRDefault="00067A63" w:rsidP="00067A63">
      <w:pPr>
        <w:spacing w:after="0"/>
        <w:rPr>
          <w:rFonts w:ascii="Times New Roman" w:hAnsi="Times New Roman" w:cs="Arial"/>
          <w:lang w:val="en-GB"/>
        </w:rPr>
      </w:pPr>
      <w:proofErr w:type="gramStart"/>
      <w:r w:rsidRPr="00B55B1D">
        <w:rPr>
          <w:rFonts w:ascii="Times New Roman" w:hAnsi="Times New Roman"/>
          <w:lang w:val="en-GB"/>
        </w:rPr>
        <w:t>Larson, A.</w:t>
      </w:r>
      <w:r w:rsidR="008C7900" w:rsidRPr="00B55B1D">
        <w:rPr>
          <w:rFonts w:ascii="Times New Roman" w:hAnsi="Times New Roman"/>
          <w:lang w:val="en-GB"/>
        </w:rPr>
        <w:t>M.</w:t>
      </w:r>
      <w:r w:rsidR="0070215F" w:rsidRPr="00B55B1D">
        <w:rPr>
          <w:rFonts w:ascii="Times New Roman" w:hAnsi="Times New Roman"/>
          <w:lang w:val="en-GB"/>
        </w:rPr>
        <w:t>, D. Barry, G.</w:t>
      </w:r>
      <w:r w:rsidR="004A7171" w:rsidRPr="00B55B1D">
        <w:rPr>
          <w:rFonts w:ascii="Times New Roman" w:hAnsi="Times New Roman"/>
          <w:lang w:val="en-GB"/>
        </w:rPr>
        <w:t xml:space="preserve">R. </w:t>
      </w:r>
      <w:proofErr w:type="spellStart"/>
      <w:r w:rsidR="004A7171" w:rsidRPr="00B55B1D">
        <w:rPr>
          <w:rFonts w:ascii="Times New Roman" w:hAnsi="Times New Roman"/>
          <w:lang w:val="en-GB"/>
        </w:rPr>
        <w:t>Dahal</w:t>
      </w:r>
      <w:proofErr w:type="spellEnd"/>
      <w:r w:rsidRPr="00B55B1D">
        <w:rPr>
          <w:rFonts w:ascii="Times New Roman" w:hAnsi="Times New Roman"/>
          <w:lang w:val="en-GB"/>
        </w:rPr>
        <w:t xml:space="preserve"> a</w:t>
      </w:r>
      <w:r w:rsidR="0070215F" w:rsidRPr="00B55B1D">
        <w:rPr>
          <w:rFonts w:ascii="Times New Roman" w:hAnsi="Times New Roman"/>
          <w:lang w:val="en-GB"/>
        </w:rPr>
        <w:t>nd C.J.</w:t>
      </w:r>
      <w:r w:rsidR="00D7534E" w:rsidRPr="00B55B1D">
        <w:rPr>
          <w:rFonts w:ascii="Times New Roman" w:hAnsi="Times New Roman"/>
          <w:lang w:val="en-GB"/>
        </w:rPr>
        <w:t xml:space="preserve">P. </w:t>
      </w:r>
      <w:proofErr w:type="spellStart"/>
      <w:r w:rsidR="00D7534E" w:rsidRPr="00B55B1D">
        <w:rPr>
          <w:rFonts w:ascii="Times New Roman" w:hAnsi="Times New Roman"/>
          <w:lang w:val="en-GB"/>
        </w:rPr>
        <w:t>Colfer</w:t>
      </w:r>
      <w:proofErr w:type="spellEnd"/>
      <w:r w:rsidR="00D7534E" w:rsidRPr="00B55B1D">
        <w:rPr>
          <w:rFonts w:ascii="Times New Roman" w:hAnsi="Times New Roman"/>
          <w:lang w:val="en-GB"/>
        </w:rPr>
        <w:t xml:space="preserve"> (</w:t>
      </w:r>
      <w:proofErr w:type="spellStart"/>
      <w:r w:rsidR="00D7534E" w:rsidRPr="00B55B1D">
        <w:rPr>
          <w:rFonts w:ascii="Times New Roman" w:hAnsi="Times New Roman"/>
          <w:lang w:val="en-GB"/>
        </w:rPr>
        <w:t>eds</w:t>
      </w:r>
      <w:proofErr w:type="spellEnd"/>
      <w:r w:rsidR="008C7900" w:rsidRPr="00B55B1D">
        <w:rPr>
          <w:rFonts w:ascii="Times New Roman" w:hAnsi="Times New Roman"/>
          <w:lang w:val="en-GB"/>
        </w:rPr>
        <w:t xml:space="preserve">) </w:t>
      </w:r>
      <w:r w:rsidR="00D7534E" w:rsidRPr="00B55B1D">
        <w:rPr>
          <w:rFonts w:ascii="Times New Roman" w:hAnsi="Times New Roman"/>
          <w:lang w:val="en-GB"/>
        </w:rPr>
        <w:t>(</w:t>
      </w:r>
      <w:r w:rsidR="008C7900" w:rsidRPr="00B55B1D">
        <w:rPr>
          <w:rFonts w:ascii="Times New Roman" w:hAnsi="Times New Roman"/>
          <w:lang w:val="en-GB"/>
        </w:rPr>
        <w:t>2010a</w:t>
      </w:r>
      <w:r w:rsidR="00D7534E" w:rsidRPr="00B55B1D">
        <w:rPr>
          <w:rFonts w:ascii="Times New Roman" w:hAnsi="Times New Roman"/>
          <w:lang w:val="en-GB"/>
        </w:rPr>
        <w:t>)</w:t>
      </w:r>
      <w:r w:rsidRPr="00B55B1D">
        <w:rPr>
          <w:rFonts w:ascii="Times New Roman" w:hAnsi="Times New Roman"/>
          <w:lang w:val="en-GB"/>
        </w:rPr>
        <w:t xml:space="preserve"> </w:t>
      </w:r>
      <w:r w:rsidRPr="00B55B1D">
        <w:rPr>
          <w:rFonts w:ascii="Times New Roman" w:hAnsi="Times New Roman"/>
          <w:i/>
          <w:lang w:val="en-GB"/>
        </w:rPr>
        <w:t xml:space="preserve">Forests for People: </w:t>
      </w:r>
      <w:r w:rsidRPr="00B55B1D">
        <w:rPr>
          <w:rFonts w:ascii="Times New Roman" w:hAnsi="Times New Roman" w:cs="Arial"/>
          <w:i/>
          <w:lang w:val="en-GB"/>
        </w:rPr>
        <w:t>Community Rights and Forest Tenure Reform</w:t>
      </w:r>
      <w:r w:rsidRPr="00B55B1D">
        <w:rPr>
          <w:rFonts w:ascii="Times New Roman" w:hAnsi="Times New Roman" w:cs="Arial"/>
          <w:lang w:val="en-GB"/>
        </w:rPr>
        <w:t>.</w:t>
      </w:r>
      <w:proofErr w:type="gramEnd"/>
      <w:r w:rsidRPr="00B55B1D">
        <w:rPr>
          <w:rFonts w:ascii="Times New Roman" w:hAnsi="Times New Roman" w:cs="Arial"/>
          <w:lang w:val="en-GB"/>
        </w:rPr>
        <w:t xml:space="preserve"> London: </w:t>
      </w:r>
      <w:proofErr w:type="spellStart"/>
      <w:r w:rsidRPr="00B55B1D">
        <w:rPr>
          <w:rFonts w:ascii="Times New Roman" w:hAnsi="Times New Roman" w:cs="Arial"/>
          <w:lang w:val="en-GB"/>
        </w:rPr>
        <w:t>Earthscan</w:t>
      </w:r>
      <w:proofErr w:type="spellEnd"/>
      <w:r w:rsidRPr="00B55B1D">
        <w:rPr>
          <w:rFonts w:ascii="Times New Roman" w:hAnsi="Times New Roman" w:cs="Arial"/>
          <w:lang w:val="en-GB"/>
        </w:rPr>
        <w:t>.</w:t>
      </w:r>
    </w:p>
    <w:p w:rsidR="00067A63" w:rsidRPr="00B55B1D" w:rsidRDefault="00067A63" w:rsidP="00067A63">
      <w:pPr>
        <w:spacing w:after="0"/>
        <w:rPr>
          <w:rFonts w:ascii="Times New Roman" w:hAnsi="Times New Roman" w:cs="Arial"/>
          <w:lang w:val="en-GB"/>
        </w:rPr>
      </w:pPr>
    </w:p>
    <w:p w:rsidR="00067A63" w:rsidRPr="00B55B1D" w:rsidRDefault="00067A63" w:rsidP="00067A63">
      <w:pPr>
        <w:spacing w:after="0"/>
        <w:rPr>
          <w:rFonts w:ascii="Times New Roman" w:hAnsi="Times New Roman"/>
          <w:lang w:val="en-GB"/>
        </w:rPr>
      </w:pPr>
      <w:r w:rsidRPr="00B55B1D">
        <w:rPr>
          <w:rFonts w:ascii="Times New Roman" w:hAnsi="Times New Roman"/>
          <w:lang w:val="en-GB"/>
        </w:rPr>
        <w:t>Larson, A.</w:t>
      </w:r>
      <w:r w:rsidR="008C7900" w:rsidRPr="00B55B1D">
        <w:rPr>
          <w:rFonts w:ascii="Times New Roman" w:hAnsi="Times New Roman"/>
          <w:lang w:val="en-GB"/>
        </w:rPr>
        <w:t>M.</w:t>
      </w:r>
      <w:r w:rsidR="004A7171" w:rsidRPr="00B55B1D">
        <w:rPr>
          <w:rFonts w:ascii="Times New Roman" w:hAnsi="Times New Roman"/>
          <w:lang w:val="en-GB"/>
        </w:rPr>
        <w:t xml:space="preserve">, E. </w:t>
      </w:r>
      <w:proofErr w:type="spellStart"/>
      <w:r w:rsidR="004A7171" w:rsidRPr="00B55B1D">
        <w:rPr>
          <w:rFonts w:ascii="Times New Roman" w:hAnsi="Times New Roman"/>
          <w:lang w:val="en-GB"/>
        </w:rPr>
        <w:t>Marfo</w:t>
      </w:r>
      <w:proofErr w:type="spellEnd"/>
      <w:r w:rsidR="004A7171" w:rsidRPr="00B55B1D">
        <w:rPr>
          <w:rFonts w:ascii="Times New Roman" w:hAnsi="Times New Roman"/>
          <w:lang w:val="en-GB"/>
        </w:rPr>
        <w:t xml:space="preserve">, P. </w:t>
      </w:r>
      <w:proofErr w:type="spellStart"/>
      <w:r w:rsidR="004A7171" w:rsidRPr="00B55B1D">
        <w:rPr>
          <w:rFonts w:ascii="Times New Roman" w:hAnsi="Times New Roman"/>
          <w:lang w:val="en-GB"/>
        </w:rPr>
        <w:t>Cronkleton</w:t>
      </w:r>
      <w:proofErr w:type="spellEnd"/>
      <w:r w:rsidRPr="00B55B1D">
        <w:rPr>
          <w:rFonts w:ascii="Times New Roman" w:hAnsi="Times New Roman"/>
          <w:lang w:val="en-GB"/>
        </w:rPr>
        <w:t xml:space="preserve"> a</w:t>
      </w:r>
      <w:r w:rsidR="008C7900" w:rsidRPr="00B55B1D">
        <w:rPr>
          <w:rFonts w:ascii="Times New Roman" w:hAnsi="Times New Roman"/>
          <w:lang w:val="en-GB"/>
        </w:rPr>
        <w:t xml:space="preserve">nd J. </w:t>
      </w:r>
      <w:proofErr w:type="spellStart"/>
      <w:r w:rsidR="008C7900" w:rsidRPr="00B55B1D">
        <w:rPr>
          <w:rFonts w:ascii="Times New Roman" w:hAnsi="Times New Roman"/>
          <w:lang w:val="en-GB"/>
        </w:rPr>
        <w:t>Pulhin</w:t>
      </w:r>
      <w:proofErr w:type="spellEnd"/>
      <w:r w:rsidRPr="00B55B1D">
        <w:rPr>
          <w:rFonts w:ascii="Times New Roman" w:hAnsi="Times New Roman"/>
          <w:lang w:val="en-GB"/>
        </w:rPr>
        <w:t xml:space="preserve"> </w:t>
      </w:r>
      <w:r w:rsidR="00D7534E" w:rsidRPr="00B55B1D">
        <w:rPr>
          <w:rFonts w:ascii="Times New Roman" w:hAnsi="Times New Roman"/>
          <w:lang w:val="en-GB"/>
        </w:rPr>
        <w:t>(2010c)</w:t>
      </w:r>
      <w:r w:rsidRPr="00B55B1D">
        <w:rPr>
          <w:rFonts w:ascii="Times New Roman" w:hAnsi="Times New Roman"/>
          <w:lang w:val="en-GB"/>
        </w:rPr>
        <w:t xml:space="preserve"> </w:t>
      </w:r>
      <w:r w:rsidR="004A7171" w:rsidRPr="00B55B1D">
        <w:rPr>
          <w:rFonts w:ascii="Times New Roman" w:hAnsi="Times New Roman"/>
          <w:lang w:val="en-GB"/>
        </w:rPr>
        <w:t>‘</w:t>
      </w:r>
      <w:r w:rsidRPr="00B55B1D">
        <w:rPr>
          <w:rFonts w:ascii="Times New Roman" w:hAnsi="Times New Roman"/>
          <w:lang w:val="en-GB"/>
        </w:rPr>
        <w:t>Authority Relations under New Forest Tenure Arrangements</w:t>
      </w:r>
      <w:r w:rsidR="004A7171" w:rsidRPr="00B55B1D">
        <w:rPr>
          <w:rFonts w:ascii="Times New Roman" w:hAnsi="Times New Roman"/>
          <w:lang w:val="en-GB"/>
        </w:rPr>
        <w:t>’, in</w:t>
      </w:r>
      <w:r w:rsidRPr="00B55B1D">
        <w:rPr>
          <w:rFonts w:ascii="Times New Roman" w:hAnsi="Times New Roman"/>
          <w:lang w:val="en-GB"/>
        </w:rPr>
        <w:t xml:space="preserve"> </w:t>
      </w:r>
      <w:r w:rsidR="004A7171" w:rsidRPr="00B55B1D">
        <w:rPr>
          <w:rFonts w:ascii="Times New Roman" w:hAnsi="Times New Roman"/>
          <w:lang w:val="en-GB"/>
        </w:rPr>
        <w:t xml:space="preserve">A.M. Larson, D. Barry, G.R. </w:t>
      </w:r>
      <w:proofErr w:type="spellStart"/>
      <w:r w:rsidR="004A7171" w:rsidRPr="00B55B1D">
        <w:rPr>
          <w:rFonts w:ascii="Times New Roman" w:hAnsi="Times New Roman"/>
          <w:lang w:val="en-GB"/>
        </w:rPr>
        <w:t>Dahal</w:t>
      </w:r>
      <w:proofErr w:type="spellEnd"/>
      <w:r w:rsidR="004A7171" w:rsidRPr="00B55B1D">
        <w:rPr>
          <w:rFonts w:ascii="Times New Roman" w:hAnsi="Times New Roman"/>
          <w:lang w:val="en-GB"/>
        </w:rPr>
        <w:t xml:space="preserve"> and C.J.P. </w:t>
      </w:r>
      <w:proofErr w:type="spellStart"/>
      <w:r w:rsidR="004A7171" w:rsidRPr="00B55B1D">
        <w:rPr>
          <w:rFonts w:ascii="Times New Roman" w:hAnsi="Times New Roman"/>
          <w:lang w:val="en-GB"/>
        </w:rPr>
        <w:t>Colfer</w:t>
      </w:r>
      <w:proofErr w:type="spellEnd"/>
      <w:r w:rsidR="004A7171" w:rsidRPr="00B55B1D">
        <w:rPr>
          <w:rFonts w:ascii="Times New Roman" w:hAnsi="Times New Roman"/>
          <w:lang w:val="en-GB"/>
        </w:rPr>
        <w:t xml:space="preserve"> (</w:t>
      </w:r>
      <w:proofErr w:type="spellStart"/>
      <w:r w:rsidR="004A7171" w:rsidRPr="00B55B1D">
        <w:rPr>
          <w:rFonts w:ascii="Times New Roman" w:hAnsi="Times New Roman"/>
          <w:lang w:val="en-GB"/>
        </w:rPr>
        <w:t>eds</w:t>
      </w:r>
      <w:proofErr w:type="spellEnd"/>
      <w:r w:rsidR="004A7171" w:rsidRPr="00B55B1D">
        <w:rPr>
          <w:rFonts w:ascii="Times New Roman" w:hAnsi="Times New Roman"/>
          <w:lang w:val="en-GB"/>
        </w:rPr>
        <w:t>)</w:t>
      </w:r>
      <w:r w:rsidR="004A7171" w:rsidRPr="00B55B1D">
        <w:rPr>
          <w:rFonts w:ascii="Times New Roman" w:hAnsi="Times New Roman"/>
          <w:i/>
          <w:lang w:val="en-GB"/>
        </w:rPr>
        <w:t xml:space="preserve"> </w:t>
      </w:r>
      <w:r w:rsidRPr="00B55B1D">
        <w:rPr>
          <w:rFonts w:ascii="Times New Roman" w:hAnsi="Times New Roman"/>
          <w:i/>
          <w:lang w:val="en-GB"/>
        </w:rPr>
        <w:t>Forests for People: Community Rights and Forest Tenure Reform</w:t>
      </w:r>
      <w:r w:rsidR="004A7171" w:rsidRPr="00B55B1D">
        <w:rPr>
          <w:rFonts w:ascii="Times New Roman" w:hAnsi="Times New Roman"/>
          <w:lang w:val="en-GB"/>
        </w:rPr>
        <w:t xml:space="preserve">, pp. 93-115. </w:t>
      </w:r>
      <w:r w:rsidRPr="00B55B1D">
        <w:rPr>
          <w:rFonts w:ascii="Times New Roman" w:hAnsi="Times New Roman"/>
          <w:lang w:val="en-GB"/>
        </w:rPr>
        <w:t xml:space="preserve">London: </w:t>
      </w:r>
      <w:proofErr w:type="spellStart"/>
      <w:r w:rsidRPr="00B55B1D">
        <w:rPr>
          <w:rFonts w:ascii="Times New Roman" w:hAnsi="Times New Roman"/>
          <w:lang w:val="en-GB"/>
        </w:rPr>
        <w:t>Earthscan</w:t>
      </w:r>
      <w:proofErr w:type="spellEnd"/>
      <w:r w:rsidRPr="00B55B1D">
        <w:rPr>
          <w:rFonts w:ascii="Times New Roman" w:hAnsi="Times New Roman"/>
          <w:lang w:val="en-GB"/>
        </w:rPr>
        <w:t xml:space="preserve">, </w:t>
      </w:r>
    </w:p>
    <w:p w:rsidR="00067A63" w:rsidRPr="00B55B1D" w:rsidRDefault="00067A63" w:rsidP="00067A63">
      <w:pPr>
        <w:spacing w:after="0"/>
        <w:rPr>
          <w:rFonts w:ascii="Times New Roman" w:hAnsi="Times New Roman"/>
          <w:lang w:val="en-GB"/>
        </w:rPr>
      </w:pPr>
    </w:p>
    <w:p w:rsidR="00067A63" w:rsidRPr="00B55B1D" w:rsidRDefault="008C7900" w:rsidP="00067A63">
      <w:pPr>
        <w:spacing w:after="0"/>
        <w:rPr>
          <w:rFonts w:ascii="Times New Roman" w:hAnsi="Times New Roman"/>
          <w:lang w:val="en-GB"/>
        </w:rPr>
      </w:pPr>
      <w:r w:rsidRPr="00B55B1D">
        <w:rPr>
          <w:rFonts w:ascii="Times New Roman" w:hAnsi="Times New Roman"/>
          <w:lang w:val="en-GB"/>
        </w:rPr>
        <w:t xml:space="preserve">Lund, C. </w:t>
      </w:r>
      <w:r w:rsidR="00D7534E" w:rsidRPr="00B55B1D">
        <w:rPr>
          <w:rFonts w:ascii="Times New Roman" w:hAnsi="Times New Roman"/>
          <w:lang w:val="en-GB"/>
        </w:rPr>
        <w:t>(</w:t>
      </w:r>
      <w:r w:rsidRPr="00B55B1D">
        <w:rPr>
          <w:rFonts w:ascii="Times New Roman" w:hAnsi="Times New Roman"/>
          <w:lang w:val="en-GB"/>
        </w:rPr>
        <w:t>2006</w:t>
      </w:r>
      <w:r w:rsidR="00D7534E" w:rsidRPr="00B55B1D">
        <w:rPr>
          <w:rFonts w:ascii="Times New Roman" w:hAnsi="Times New Roman"/>
          <w:lang w:val="en-GB"/>
        </w:rPr>
        <w:t>)</w:t>
      </w:r>
      <w:r w:rsidR="00067A63" w:rsidRPr="00B55B1D">
        <w:rPr>
          <w:rFonts w:ascii="Times New Roman" w:hAnsi="Times New Roman"/>
          <w:lang w:val="en-GB"/>
        </w:rPr>
        <w:t xml:space="preserve"> </w:t>
      </w:r>
      <w:r w:rsidR="004A7171" w:rsidRPr="00B55B1D">
        <w:rPr>
          <w:rFonts w:ascii="Times New Roman" w:hAnsi="Times New Roman"/>
          <w:lang w:val="en-GB"/>
        </w:rPr>
        <w:t>‘</w:t>
      </w:r>
      <w:r w:rsidR="00067A63" w:rsidRPr="00B55B1D">
        <w:rPr>
          <w:rFonts w:ascii="Times New Roman" w:hAnsi="Times New Roman"/>
          <w:lang w:val="en-GB"/>
        </w:rPr>
        <w:t>Twilight Institutions: Public authori</w:t>
      </w:r>
      <w:r w:rsidR="004A7171" w:rsidRPr="00B55B1D">
        <w:rPr>
          <w:rFonts w:ascii="Times New Roman" w:hAnsi="Times New Roman"/>
          <w:lang w:val="en-GB"/>
        </w:rPr>
        <w:t>ty and local politics in Africa’,</w:t>
      </w:r>
      <w:r w:rsidR="00067A63" w:rsidRPr="00B55B1D">
        <w:rPr>
          <w:rFonts w:ascii="Times New Roman" w:hAnsi="Times New Roman"/>
          <w:lang w:val="en-GB"/>
        </w:rPr>
        <w:t xml:space="preserve"> </w:t>
      </w:r>
      <w:r w:rsidR="00067A63" w:rsidRPr="00B55B1D">
        <w:rPr>
          <w:rFonts w:ascii="Times New Roman" w:hAnsi="Times New Roman"/>
          <w:i/>
          <w:lang w:val="en-GB"/>
        </w:rPr>
        <w:t>Development and Change</w:t>
      </w:r>
      <w:r w:rsidR="00067A63" w:rsidRPr="00B55B1D">
        <w:rPr>
          <w:rFonts w:ascii="Times New Roman" w:hAnsi="Times New Roman"/>
          <w:lang w:val="en-GB"/>
        </w:rPr>
        <w:t xml:space="preserve"> 37(4): 687-705.</w:t>
      </w:r>
    </w:p>
    <w:p w:rsidR="00067A63" w:rsidRPr="00B55B1D" w:rsidRDefault="00067A63" w:rsidP="00067A63">
      <w:pPr>
        <w:spacing w:after="0"/>
        <w:rPr>
          <w:rFonts w:ascii="Times New Roman" w:hAnsi="Times New Roman"/>
          <w:lang w:val="en-GB"/>
        </w:rPr>
      </w:pPr>
    </w:p>
    <w:p w:rsidR="00067A63" w:rsidRPr="00B55B1D" w:rsidRDefault="008C7900"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proofErr w:type="spellStart"/>
      <w:r w:rsidRPr="00B55B1D">
        <w:rPr>
          <w:rFonts w:ascii="Times New Roman" w:hAnsi="Times New Roman"/>
          <w:lang w:val="en-GB"/>
        </w:rPr>
        <w:t>López</w:t>
      </w:r>
      <w:proofErr w:type="spellEnd"/>
      <w:r w:rsidRPr="00B55B1D">
        <w:rPr>
          <w:rFonts w:ascii="Times New Roman" w:hAnsi="Times New Roman"/>
          <w:lang w:val="en-GB"/>
        </w:rPr>
        <w:t xml:space="preserve">, G. R. </w:t>
      </w:r>
      <w:r w:rsidR="00D7534E" w:rsidRPr="00B55B1D">
        <w:rPr>
          <w:rFonts w:ascii="Times New Roman" w:hAnsi="Times New Roman"/>
          <w:lang w:val="en-GB"/>
        </w:rPr>
        <w:t>(</w:t>
      </w:r>
      <w:r w:rsidRPr="00B55B1D">
        <w:rPr>
          <w:rFonts w:ascii="Times New Roman" w:hAnsi="Times New Roman"/>
          <w:lang w:val="en-GB"/>
        </w:rPr>
        <w:t>2004</w:t>
      </w:r>
      <w:r w:rsidR="00D7534E" w:rsidRPr="00B55B1D">
        <w:rPr>
          <w:rFonts w:ascii="Times New Roman" w:hAnsi="Times New Roman"/>
          <w:lang w:val="en-GB"/>
        </w:rPr>
        <w:t>)</w:t>
      </w:r>
      <w:r w:rsidR="00067A63" w:rsidRPr="00B55B1D">
        <w:rPr>
          <w:rFonts w:ascii="Times New Roman" w:hAnsi="Times New Roman"/>
          <w:lang w:val="en-GB"/>
        </w:rPr>
        <w:t xml:space="preserve"> </w:t>
      </w:r>
      <w:r w:rsidR="0070215F" w:rsidRPr="00B55B1D">
        <w:rPr>
          <w:rFonts w:ascii="Times New Roman" w:hAnsi="Times New Roman"/>
          <w:lang w:val="en-GB"/>
        </w:rPr>
        <w:t>‘</w:t>
      </w:r>
      <w:proofErr w:type="spellStart"/>
      <w:r w:rsidR="00067A63" w:rsidRPr="00B55B1D">
        <w:rPr>
          <w:rFonts w:ascii="Times New Roman" w:hAnsi="Times New Roman"/>
          <w:lang w:val="en-GB"/>
        </w:rPr>
        <w:t>Negociaron</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tierras</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fiscales</w:t>
      </w:r>
      <w:proofErr w:type="spellEnd"/>
      <w:r w:rsidR="00067A63" w:rsidRPr="00B55B1D">
        <w:rPr>
          <w:rFonts w:ascii="Times New Roman" w:hAnsi="Times New Roman"/>
          <w:lang w:val="en-GB"/>
        </w:rPr>
        <w:t xml:space="preserve"> en la TCO de </w:t>
      </w:r>
      <w:proofErr w:type="spellStart"/>
      <w:r w:rsidR="00067A63" w:rsidRPr="00B55B1D">
        <w:rPr>
          <w:rFonts w:ascii="Times New Roman" w:hAnsi="Times New Roman"/>
          <w:lang w:val="en-GB"/>
        </w:rPr>
        <w:t>Guarayos</w:t>
      </w:r>
      <w:proofErr w:type="spellEnd"/>
      <w:r w:rsidR="0070215F" w:rsidRPr="00B55B1D">
        <w:rPr>
          <w:rFonts w:ascii="Times New Roman" w:hAnsi="Times New Roman"/>
          <w:lang w:val="en-GB"/>
        </w:rPr>
        <w:t>’</w:t>
      </w:r>
      <w:r w:rsidR="004A7171" w:rsidRPr="00B55B1D">
        <w:rPr>
          <w:rFonts w:ascii="Times New Roman" w:hAnsi="Times New Roman"/>
          <w:lang w:val="en-GB"/>
        </w:rPr>
        <w:t xml:space="preserve"> (</w:t>
      </w:r>
      <w:r w:rsidR="0070215F" w:rsidRPr="00B55B1D">
        <w:rPr>
          <w:rFonts w:ascii="Times New Roman" w:hAnsi="Times New Roman"/>
          <w:lang w:val="en-GB"/>
        </w:rPr>
        <w:t xml:space="preserve">Negotiating fiscal lands in the </w:t>
      </w:r>
      <w:proofErr w:type="spellStart"/>
      <w:r w:rsidR="0070215F" w:rsidRPr="00B55B1D">
        <w:rPr>
          <w:rFonts w:ascii="Times New Roman" w:hAnsi="Times New Roman"/>
          <w:lang w:val="en-GB"/>
        </w:rPr>
        <w:t>Guarayos</w:t>
      </w:r>
      <w:proofErr w:type="spellEnd"/>
      <w:r w:rsidR="0070215F" w:rsidRPr="00B55B1D">
        <w:rPr>
          <w:rFonts w:ascii="Times New Roman" w:hAnsi="Times New Roman"/>
          <w:lang w:val="en-GB"/>
        </w:rPr>
        <w:t xml:space="preserve"> TCO)</w:t>
      </w:r>
      <w:r w:rsidR="00067A63" w:rsidRPr="00B55B1D">
        <w:rPr>
          <w:rFonts w:ascii="Times New Roman" w:hAnsi="Times New Roman"/>
          <w:lang w:val="en-GB"/>
        </w:rPr>
        <w:t xml:space="preserve">. </w:t>
      </w:r>
      <w:proofErr w:type="gramStart"/>
      <w:r w:rsidR="0091579E" w:rsidRPr="00B55B1D">
        <w:rPr>
          <w:rFonts w:ascii="Times New Roman" w:hAnsi="Times New Roman"/>
          <w:i/>
          <w:lang w:val="en-GB"/>
        </w:rPr>
        <w:t xml:space="preserve">El </w:t>
      </w:r>
      <w:proofErr w:type="spellStart"/>
      <w:r w:rsidR="0091579E" w:rsidRPr="00B55B1D">
        <w:rPr>
          <w:rFonts w:ascii="Times New Roman" w:hAnsi="Times New Roman"/>
          <w:i/>
          <w:lang w:val="en-GB"/>
        </w:rPr>
        <w:t>Deber</w:t>
      </w:r>
      <w:proofErr w:type="spellEnd"/>
      <w:r w:rsidR="0070215F" w:rsidRPr="00B55B1D">
        <w:rPr>
          <w:rFonts w:ascii="Times New Roman" w:hAnsi="Times New Roman"/>
          <w:lang w:val="en-GB"/>
        </w:rPr>
        <w:t xml:space="preserve"> (7 No)</w:t>
      </w:r>
      <w:r w:rsidR="0091579E" w:rsidRPr="00B55B1D">
        <w:rPr>
          <w:rFonts w:ascii="Times New Roman" w:hAnsi="Times New Roman"/>
          <w:lang w:val="en-GB"/>
        </w:rPr>
        <w:t>, Santa Cruz de la Sierra, Bolivia.</w:t>
      </w:r>
      <w:proofErr w:type="gramEnd"/>
      <w:r w:rsidR="0091579E" w:rsidRPr="00B55B1D">
        <w:rPr>
          <w:rFonts w:ascii="Times New Roman" w:hAnsi="Times New Roman"/>
          <w:lang w:val="en-GB"/>
        </w:rPr>
        <w:t xml:space="preserve"> </w:t>
      </w:r>
    </w:p>
    <w:p w:rsidR="00067A63" w:rsidRPr="00B55B1D" w:rsidRDefault="008C7900"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proofErr w:type="spellStart"/>
      <w:r w:rsidRPr="00B55B1D">
        <w:rPr>
          <w:rFonts w:ascii="Times New Roman" w:hAnsi="Times New Roman"/>
          <w:lang w:val="en-GB"/>
        </w:rPr>
        <w:t>Mamdani</w:t>
      </w:r>
      <w:proofErr w:type="spellEnd"/>
      <w:r w:rsidRPr="00B55B1D">
        <w:rPr>
          <w:rFonts w:ascii="Times New Roman" w:hAnsi="Times New Roman"/>
          <w:lang w:val="en-GB"/>
        </w:rPr>
        <w:t xml:space="preserve">, M. </w:t>
      </w:r>
      <w:r w:rsidR="00D7534E" w:rsidRPr="00B55B1D">
        <w:rPr>
          <w:rFonts w:ascii="Times New Roman" w:hAnsi="Times New Roman"/>
          <w:lang w:val="en-GB"/>
        </w:rPr>
        <w:t>(</w:t>
      </w:r>
      <w:r w:rsidRPr="00B55B1D">
        <w:rPr>
          <w:rFonts w:ascii="Times New Roman" w:hAnsi="Times New Roman"/>
          <w:lang w:val="en-GB"/>
        </w:rPr>
        <w:t>1996</w:t>
      </w:r>
      <w:r w:rsidR="00D7534E" w:rsidRPr="00B55B1D">
        <w:rPr>
          <w:rFonts w:ascii="Times New Roman" w:hAnsi="Times New Roman"/>
          <w:lang w:val="en-GB"/>
        </w:rPr>
        <w:t>)</w:t>
      </w:r>
      <w:r w:rsidR="00067A63" w:rsidRPr="00B55B1D">
        <w:rPr>
          <w:rFonts w:ascii="Times New Roman" w:hAnsi="Times New Roman"/>
          <w:lang w:val="en-GB"/>
        </w:rPr>
        <w:t xml:space="preserve"> </w:t>
      </w:r>
      <w:r w:rsidR="00067A63" w:rsidRPr="00B55B1D">
        <w:rPr>
          <w:rFonts w:ascii="Times New Roman" w:hAnsi="Times New Roman"/>
          <w:i/>
          <w:lang w:val="en-GB"/>
        </w:rPr>
        <w:t>Citizen and Subject: Contemporary Africa and the Legacy of Late Colonialism</w:t>
      </w:r>
      <w:r w:rsidR="0070215F" w:rsidRPr="00B55B1D">
        <w:rPr>
          <w:rFonts w:ascii="Times New Roman" w:hAnsi="Times New Roman"/>
          <w:i/>
          <w:lang w:val="en-GB"/>
        </w:rPr>
        <w:t>.</w:t>
      </w:r>
      <w:r w:rsidR="00067A63" w:rsidRPr="00B55B1D">
        <w:rPr>
          <w:rFonts w:ascii="Times New Roman" w:hAnsi="Times New Roman"/>
          <w:lang w:val="en-GB"/>
        </w:rPr>
        <w:t xml:space="preserve"> </w:t>
      </w:r>
      <w:r w:rsidR="0070215F" w:rsidRPr="00B55B1D">
        <w:rPr>
          <w:rFonts w:ascii="Times New Roman" w:hAnsi="Times New Roman"/>
          <w:lang w:val="en-GB"/>
        </w:rPr>
        <w:t xml:space="preserve">Princeton: </w:t>
      </w:r>
      <w:r w:rsidR="00067A63" w:rsidRPr="00B55B1D">
        <w:rPr>
          <w:rFonts w:ascii="Times New Roman" w:hAnsi="Times New Roman"/>
          <w:lang w:val="en-GB"/>
        </w:rPr>
        <w:t>Princeton University Press</w:t>
      </w:r>
      <w:r w:rsidR="0070215F" w:rsidRPr="00B55B1D">
        <w:rPr>
          <w:rFonts w:ascii="Times New Roman" w:hAnsi="Times New Roman"/>
          <w:lang w:val="en-GB"/>
        </w:rPr>
        <w:t>; Cape Town: David Phillip.</w:t>
      </w:r>
    </w:p>
    <w:p w:rsidR="00067A63" w:rsidRPr="00B55B1D" w:rsidRDefault="0070215F"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proofErr w:type="gramStart"/>
      <w:r w:rsidRPr="00B55B1D">
        <w:rPr>
          <w:rFonts w:ascii="Times New Roman" w:hAnsi="Times New Roman"/>
          <w:lang w:val="en-GB"/>
        </w:rPr>
        <w:t>Moreno, R.</w:t>
      </w:r>
      <w:r w:rsidR="008C7900" w:rsidRPr="00B55B1D">
        <w:rPr>
          <w:rFonts w:ascii="Times New Roman" w:hAnsi="Times New Roman"/>
          <w:lang w:val="en-GB"/>
        </w:rPr>
        <w:t xml:space="preserve">D. </w:t>
      </w:r>
      <w:r w:rsidR="00D7534E" w:rsidRPr="00B55B1D">
        <w:rPr>
          <w:rFonts w:ascii="Times New Roman" w:hAnsi="Times New Roman"/>
          <w:lang w:val="en-GB"/>
        </w:rPr>
        <w:t>(</w:t>
      </w:r>
      <w:r w:rsidR="008C7900" w:rsidRPr="00B55B1D">
        <w:rPr>
          <w:rFonts w:ascii="Times New Roman" w:hAnsi="Times New Roman"/>
          <w:lang w:val="en-GB"/>
        </w:rPr>
        <w:t>2006</w:t>
      </w:r>
      <w:r w:rsidR="00D7534E" w:rsidRPr="00B55B1D">
        <w:rPr>
          <w:rFonts w:ascii="Times New Roman" w:hAnsi="Times New Roman"/>
          <w:lang w:val="en-GB"/>
        </w:rPr>
        <w:t>)</w:t>
      </w:r>
      <w:r w:rsidR="00067A63" w:rsidRPr="00B55B1D">
        <w:rPr>
          <w:rFonts w:ascii="Times New Roman" w:hAnsi="Times New Roman"/>
          <w:lang w:val="en-GB"/>
        </w:rPr>
        <w:t xml:space="preserve"> </w:t>
      </w:r>
      <w:r w:rsidRPr="00B55B1D">
        <w:rPr>
          <w:rFonts w:ascii="Times New Roman" w:hAnsi="Times New Roman"/>
          <w:lang w:val="en-GB"/>
        </w:rPr>
        <w:t xml:space="preserve">‘COPNAG </w:t>
      </w:r>
      <w:proofErr w:type="spellStart"/>
      <w:r w:rsidRPr="00B55B1D">
        <w:rPr>
          <w:rFonts w:ascii="Times New Roman" w:hAnsi="Times New Roman"/>
          <w:lang w:val="en-GB"/>
        </w:rPr>
        <w:t>denuncia</w:t>
      </w:r>
      <w:proofErr w:type="spellEnd"/>
      <w:r w:rsidRPr="00B55B1D">
        <w:rPr>
          <w:rFonts w:ascii="Times New Roman" w:hAnsi="Times New Roman"/>
          <w:lang w:val="en-GB"/>
        </w:rPr>
        <w:t xml:space="preserve"> la </w:t>
      </w:r>
      <w:proofErr w:type="spellStart"/>
      <w:r w:rsidRPr="00B55B1D">
        <w:rPr>
          <w:rFonts w:ascii="Times New Roman" w:hAnsi="Times New Roman"/>
          <w:lang w:val="en-GB"/>
        </w:rPr>
        <w:t>venta</w:t>
      </w:r>
      <w:proofErr w:type="spellEnd"/>
      <w:r w:rsidRPr="00B55B1D">
        <w:rPr>
          <w:rFonts w:ascii="Times New Roman" w:hAnsi="Times New Roman"/>
          <w:lang w:val="en-GB"/>
        </w:rPr>
        <w:t xml:space="preserve"> en $US 1.</w:t>
      </w:r>
      <w:r w:rsidR="00067A63" w:rsidRPr="00B55B1D">
        <w:rPr>
          <w:rFonts w:ascii="Times New Roman" w:hAnsi="Times New Roman"/>
          <w:lang w:val="en-GB"/>
        </w:rPr>
        <w:t xml:space="preserve">2 </w:t>
      </w:r>
      <w:proofErr w:type="spellStart"/>
      <w:r w:rsidR="00067A63" w:rsidRPr="00B55B1D">
        <w:rPr>
          <w:rFonts w:ascii="Times New Roman" w:hAnsi="Times New Roman"/>
          <w:lang w:val="en-GB"/>
        </w:rPr>
        <w:t>millones</w:t>
      </w:r>
      <w:proofErr w:type="spellEnd"/>
      <w:r w:rsidR="00067A63" w:rsidRPr="00B55B1D">
        <w:rPr>
          <w:rFonts w:ascii="Times New Roman" w:hAnsi="Times New Roman"/>
          <w:lang w:val="en-GB"/>
        </w:rPr>
        <w:t xml:space="preserve"> de TCO en </w:t>
      </w:r>
      <w:proofErr w:type="spellStart"/>
      <w:r w:rsidR="00067A63" w:rsidRPr="00B55B1D">
        <w:rPr>
          <w:rFonts w:ascii="Times New Roman" w:hAnsi="Times New Roman"/>
          <w:lang w:val="en-GB"/>
        </w:rPr>
        <w:t>Guarayos</w:t>
      </w:r>
      <w:proofErr w:type="spellEnd"/>
      <w:r w:rsidRPr="00B55B1D">
        <w:rPr>
          <w:rFonts w:ascii="Times New Roman" w:hAnsi="Times New Roman"/>
          <w:lang w:val="en-GB"/>
        </w:rPr>
        <w:t xml:space="preserve">’ (COPNAG denounces the sale of $1.2 million from the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TCO)</w:t>
      </w:r>
      <w:r w:rsidR="00067A63" w:rsidRPr="00B55B1D">
        <w:rPr>
          <w:rFonts w:ascii="Times New Roman" w:hAnsi="Times New Roman"/>
          <w:lang w:val="en-GB"/>
        </w:rPr>
        <w:t>.</w:t>
      </w:r>
      <w:proofErr w:type="gramEnd"/>
      <w:r w:rsidR="00067A63" w:rsidRPr="00B55B1D">
        <w:rPr>
          <w:rFonts w:ascii="Times New Roman" w:hAnsi="Times New Roman"/>
          <w:lang w:val="en-GB"/>
        </w:rPr>
        <w:t xml:space="preserve"> </w:t>
      </w:r>
      <w:r w:rsidR="00067A63" w:rsidRPr="00B55B1D">
        <w:rPr>
          <w:rFonts w:ascii="Times New Roman" w:hAnsi="Times New Roman"/>
          <w:i/>
          <w:lang w:val="en-GB"/>
        </w:rPr>
        <w:t xml:space="preserve">El </w:t>
      </w:r>
      <w:proofErr w:type="spellStart"/>
      <w:r w:rsidR="00067A63" w:rsidRPr="00B55B1D">
        <w:rPr>
          <w:rFonts w:ascii="Times New Roman" w:hAnsi="Times New Roman"/>
          <w:i/>
          <w:lang w:val="en-GB"/>
        </w:rPr>
        <w:t>Deber</w:t>
      </w:r>
      <w:proofErr w:type="spellEnd"/>
      <w:r w:rsidRPr="00B55B1D">
        <w:rPr>
          <w:rFonts w:ascii="Times New Roman" w:hAnsi="Times New Roman"/>
          <w:i/>
          <w:lang w:val="en-GB"/>
        </w:rPr>
        <w:t xml:space="preserve"> </w:t>
      </w:r>
      <w:r w:rsidRPr="00B55B1D">
        <w:rPr>
          <w:rFonts w:ascii="Times New Roman" w:hAnsi="Times New Roman"/>
          <w:lang w:val="en-GB"/>
        </w:rPr>
        <w:t xml:space="preserve">(27 Nov) </w:t>
      </w:r>
      <w:r w:rsidR="00067A63" w:rsidRPr="00B55B1D">
        <w:rPr>
          <w:rFonts w:ascii="Times New Roman" w:hAnsi="Times New Roman"/>
          <w:lang w:val="en-GB"/>
        </w:rPr>
        <w:t xml:space="preserve">Santa Cruz de la Sierra, Bolivia. </w:t>
      </w:r>
    </w:p>
    <w:p w:rsidR="00067A63" w:rsidRPr="00B55B1D" w:rsidRDefault="008C7900"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proofErr w:type="spellStart"/>
      <w:r w:rsidRPr="00B55B1D">
        <w:rPr>
          <w:rFonts w:ascii="Times New Roman" w:hAnsi="Times New Roman"/>
          <w:lang w:val="en-GB"/>
        </w:rPr>
        <w:t>Ntsebeza</w:t>
      </w:r>
      <w:proofErr w:type="spellEnd"/>
      <w:r w:rsidRPr="00B55B1D">
        <w:rPr>
          <w:rFonts w:ascii="Times New Roman" w:hAnsi="Times New Roman"/>
          <w:lang w:val="en-GB"/>
        </w:rPr>
        <w:t xml:space="preserve">, L. </w:t>
      </w:r>
      <w:r w:rsidR="00D7534E" w:rsidRPr="00B55B1D">
        <w:rPr>
          <w:rFonts w:ascii="Times New Roman" w:hAnsi="Times New Roman"/>
          <w:lang w:val="en-GB"/>
        </w:rPr>
        <w:t>(</w:t>
      </w:r>
      <w:r w:rsidRPr="00B55B1D">
        <w:rPr>
          <w:rFonts w:ascii="Times New Roman" w:hAnsi="Times New Roman"/>
          <w:lang w:val="en-GB"/>
        </w:rPr>
        <w:t>2005</w:t>
      </w:r>
      <w:r w:rsidR="00D7534E" w:rsidRPr="00B55B1D">
        <w:rPr>
          <w:rFonts w:ascii="Times New Roman" w:hAnsi="Times New Roman"/>
          <w:lang w:val="en-GB"/>
        </w:rPr>
        <w:t>)</w:t>
      </w:r>
      <w:r w:rsidR="00067A63" w:rsidRPr="00B55B1D">
        <w:rPr>
          <w:rFonts w:ascii="Times New Roman" w:hAnsi="Times New Roman"/>
          <w:lang w:val="en-GB"/>
        </w:rPr>
        <w:t xml:space="preserve"> </w:t>
      </w:r>
      <w:r w:rsidR="0070215F" w:rsidRPr="00B55B1D">
        <w:rPr>
          <w:rFonts w:ascii="Times New Roman" w:hAnsi="Times New Roman"/>
          <w:lang w:val="en-GB"/>
        </w:rPr>
        <w:t>‘</w:t>
      </w:r>
      <w:r w:rsidR="00067A63" w:rsidRPr="00B55B1D">
        <w:rPr>
          <w:rFonts w:ascii="Times New Roman" w:hAnsi="Times New Roman"/>
          <w:lang w:val="en-GB"/>
        </w:rPr>
        <w:t>Democratic decentralization and traditional authority: dilemmas of land administration in rural Africa</w:t>
      </w:r>
      <w:r w:rsidR="0070215F" w:rsidRPr="00B55B1D">
        <w:rPr>
          <w:rFonts w:ascii="Times New Roman" w:hAnsi="Times New Roman"/>
          <w:lang w:val="en-GB"/>
        </w:rPr>
        <w:t>,’ in</w:t>
      </w:r>
      <w:r w:rsidR="00067A63" w:rsidRPr="00B55B1D">
        <w:rPr>
          <w:rFonts w:ascii="Times New Roman" w:hAnsi="Times New Roman"/>
          <w:lang w:val="en-GB"/>
        </w:rPr>
        <w:t xml:space="preserve"> </w:t>
      </w:r>
      <w:r w:rsidR="0070215F" w:rsidRPr="00B55B1D">
        <w:rPr>
          <w:rFonts w:ascii="Times New Roman" w:hAnsi="Times New Roman"/>
          <w:lang w:val="en-GB"/>
        </w:rPr>
        <w:t xml:space="preserve">J.C. </w:t>
      </w:r>
      <w:proofErr w:type="spellStart"/>
      <w:r w:rsidR="0070215F" w:rsidRPr="00B55B1D">
        <w:rPr>
          <w:rFonts w:ascii="Times New Roman" w:hAnsi="Times New Roman"/>
          <w:lang w:val="en-GB"/>
        </w:rPr>
        <w:t>Ribot</w:t>
      </w:r>
      <w:proofErr w:type="spellEnd"/>
      <w:r w:rsidR="0070215F" w:rsidRPr="00B55B1D">
        <w:rPr>
          <w:rFonts w:ascii="Times New Roman" w:hAnsi="Times New Roman"/>
          <w:lang w:val="en-GB"/>
        </w:rPr>
        <w:t>, and A.M. Larson (</w:t>
      </w:r>
      <w:proofErr w:type="spellStart"/>
      <w:r w:rsidR="0070215F" w:rsidRPr="00B55B1D">
        <w:rPr>
          <w:rFonts w:ascii="Times New Roman" w:hAnsi="Times New Roman"/>
          <w:lang w:val="en-GB"/>
        </w:rPr>
        <w:t>eds</w:t>
      </w:r>
      <w:proofErr w:type="spellEnd"/>
      <w:r w:rsidR="0070215F" w:rsidRPr="00B55B1D">
        <w:rPr>
          <w:rFonts w:ascii="Times New Roman" w:hAnsi="Times New Roman"/>
          <w:lang w:val="en-GB"/>
        </w:rPr>
        <w:t>)</w:t>
      </w:r>
      <w:r w:rsidR="0070215F" w:rsidRPr="00B55B1D">
        <w:rPr>
          <w:rFonts w:ascii="Times New Roman" w:hAnsi="Times New Roman"/>
          <w:i/>
          <w:lang w:val="en-GB"/>
        </w:rPr>
        <w:t xml:space="preserve"> </w:t>
      </w:r>
      <w:r w:rsidR="00067A63" w:rsidRPr="00B55B1D">
        <w:rPr>
          <w:rFonts w:ascii="Times New Roman" w:hAnsi="Times New Roman"/>
          <w:i/>
          <w:lang w:val="en-GB"/>
        </w:rPr>
        <w:t xml:space="preserve">Democratic Decentralization through a Natural Resource Lens, </w:t>
      </w:r>
      <w:r w:rsidR="0070215F" w:rsidRPr="00B55B1D">
        <w:rPr>
          <w:rFonts w:ascii="Times New Roman" w:hAnsi="Times New Roman"/>
          <w:lang w:val="en-GB"/>
        </w:rPr>
        <w:t xml:space="preserve">pp. 71-89. London: </w:t>
      </w:r>
      <w:proofErr w:type="spellStart"/>
      <w:r w:rsidR="0070215F" w:rsidRPr="00B55B1D">
        <w:rPr>
          <w:rFonts w:ascii="Times New Roman" w:hAnsi="Times New Roman"/>
          <w:lang w:val="en-GB"/>
        </w:rPr>
        <w:t>Routledge</w:t>
      </w:r>
      <w:proofErr w:type="spellEnd"/>
      <w:r w:rsidR="0070215F" w:rsidRPr="00B55B1D">
        <w:rPr>
          <w:rFonts w:ascii="Times New Roman" w:hAnsi="Times New Roman"/>
          <w:lang w:val="en-GB"/>
        </w:rPr>
        <w:t>.</w:t>
      </w:r>
    </w:p>
    <w:p w:rsidR="00067A63" w:rsidRPr="00B55B1D" w:rsidRDefault="00067A63" w:rsidP="00067A63">
      <w:pPr>
        <w:rPr>
          <w:rFonts w:ascii="Times New Roman" w:hAnsi="Times New Roman"/>
          <w:lang w:val="en-GB"/>
        </w:rPr>
      </w:pPr>
      <w:proofErr w:type="gramStart"/>
      <w:r w:rsidRPr="00B55B1D">
        <w:rPr>
          <w:rFonts w:ascii="Times New Roman" w:hAnsi="Times New Roman"/>
          <w:lang w:val="en-GB"/>
        </w:rPr>
        <w:t xml:space="preserve">Plant, R. and </w:t>
      </w:r>
      <w:r w:rsidR="008C7900" w:rsidRPr="00B55B1D">
        <w:rPr>
          <w:rFonts w:ascii="Times New Roman" w:hAnsi="Times New Roman"/>
          <w:lang w:val="en-GB"/>
        </w:rPr>
        <w:t xml:space="preserve">S. </w:t>
      </w:r>
      <w:proofErr w:type="spellStart"/>
      <w:r w:rsidR="008C7900" w:rsidRPr="00B55B1D">
        <w:rPr>
          <w:rFonts w:ascii="Times New Roman" w:hAnsi="Times New Roman"/>
          <w:lang w:val="en-GB"/>
        </w:rPr>
        <w:t>Hvalkof</w:t>
      </w:r>
      <w:proofErr w:type="spellEnd"/>
      <w:r w:rsidRPr="00B55B1D">
        <w:rPr>
          <w:rFonts w:ascii="Times New Roman" w:hAnsi="Times New Roman"/>
          <w:lang w:val="en-GB"/>
        </w:rPr>
        <w:t xml:space="preserve"> </w:t>
      </w:r>
      <w:r w:rsidR="00D7534E" w:rsidRPr="00B55B1D">
        <w:rPr>
          <w:rFonts w:ascii="Times New Roman" w:hAnsi="Times New Roman"/>
          <w:lang w:val="en-GB"/>
        </w:rPr>
        <w:t>(</w:t>
      </w:r>
      <w:r w:rsidRPr="00B55B1D">
        <w:rPr>
          <w:rFonts w:ascii="Times New Roman" w:hAnsi="Times New Roman"/>
          <w:lang w:val="en-GB"/>
        </w:rPr>
        <w:t>2001</w:t>
      </w:r>
      <w:r w:rsidR="00D7534E" w:rsidRPr="00B55B1D">
        <w:rPr>
          <w:rFonts w:ascii="Times New Roman" w:hAnsi="Times New Roman"/>
          <w:lang w:val="en-GB"/>
        </w:rPr>
        <w:t>)</w:t>
      </w:r>
      <w:r w:rsidRPr="00B55B1D">
        <w:rPr>
          <w:rFonts w:ascii="Times New Roman" w:hAnsi="Times New Roman"/>
          <w:lang w:val="en-GB"/>
        </w:rPr>
        <w:t xml:space="preserve"> </w:t>
      </w:r>
      <w:r w:rsidR="002B23D0" w:rsidRPr="00B55B1D">
        <w:rPr>
          <w:rFonts w:ascii="Times New Roman" w:hAnsi="Times New Roman"/>
          <w:lang w:val="en-GB"/>
        </w:rPr>
        <w:t>‘</w:t>
      </w:r>
      <w:r w:rsidRPr="00B55B1D">
        <w:rPr>
          <w:rFonts w:ascii="Times New Roman" w:hAnsi="Times New Roman"/>
          <w:lang w:val="en-GB"/>
        </w:rPr>
        <w:t>Land titling and indigenous peoples</w:t>
      </w:r>
      <w:r w:rsidR="002B23D0" w:rsidRPr="00B55B1D">
        <w:rPr>
          <w:rFonts w:ascii="Times New Roman" w:hAnsi="Times New Roman"/>
          <w:lang w:val="en-GB"/>
        </w:rPr>
        <w:t>’.</w:t>
      </w:r>
      <w:proofErr w:type="gramEnd"/>
      <w:r w:rsidRPr="00B55B1D">
        <w:rPr>
          <w:rFonts w:ascii="Times New Roman" w:hAnsi="Times New Roman"/>
          <w:lang w:val="en-GB"/>
        </w:rPr>
        <w:t xml:space="preserve"> </w:t>
      </w:r>
      <w:proofErr w:type="gramStart"/>
      <w:r w:rsidRPr="00B55B1D">
        <w:rPr>
          <w:rFonts w:ascii="Times New Roman" w:hAnsi="Times New Roman"/>
          <w:lang w:val="en-GB"/>
        </w:rPr>
        <w:t>Sustainable Development Depa</w:t>
      </w:r>
      <w:r w:rsidR="00D700B3" w:rsidRPr="00B55B1D">
        <w:rPr>
          <w:rFonts w:ascii="Times New Roman" w:hAnsi="Times New Roman"/>
          <w:lang w:val="en-GB"/>
        </w:rPr>
        <w:t>rtment Technical Papers Series.</w:t>
      </w:r>
      <w:proofErr w:type="gramEnd"/>
      <w:r w:rsidR="00D700B3" w:rsidRPr="00B55B1D">
        <w:rPr>
          <w:rFonts w:ascii="Times New Roman" w:hAnsi="Times New Roman"/>
          <w:lang w:val="en-GB"/>
        </w:rPr>
        <w:t xml:space="preserve"> </w:t>
      </w:r>
      <w:r w:rsidR="0091579E" w:rsidRPr="00B55B1D">
        <w:rPr>
          <w:rFonts w:ascii="Times New Roman" w:hAnsi="Times New Roman"/>
          <w:lang w:val="en-GB"/>
        </w:rPr>
        <w:t>Washington, DC: Inter-American Development Bank.</w:t>
      </w:r>
    </w:p>
    <w:p w:rsidR="00067A63" w:rsidRPr="00B55B1D" w:rsidRDefault="00236860" w:rsidP="00067A63">
      <w:pPr>
        <w:spacing w:after="0"/>
        <w:rPr>
          <w:rFonts w:ascii="Times New Roman" w:hAnsi="Times New Roman"/>
          <w:lang w:val="en-GB"/>
        </w:rPr>
      </w:pPr>
      <w:proofErr w:type="gramStart"/>
      <w:r>
        <w:rPr>
          <w:rFonts w:ascii="Times New Roman" w:hAnsi="Times New Roman"/>
          <w:lang w:val="en-GB"/>
        </w:rPr>
        <w:t>PGR (</w:t>
      </w:r>
      <w:proofErr w:type="spellStart"/>
      <w:r>
        <w:rPr>
          <w:rFonts w:ascii="Times New Roman" w:hAnsi="Times New Roman"/>
          <w:lang w:val="en-GB"/>
        </w:rPr>
        <w:t>Procuraduría</w:t>
      </w:r>
      <w:proofErr w:type="spellEnd"/>
      <w:r>
        <w:rPr>
          <w:rFonts w:ascii="Times New Roman" w:hAnsi="Times New Roman"/>
          <w:lang w:val="en-GB"/>
        </w:rPr>
        <w:t xml:space="preserve"> General de la </w:t>
      </w:r>
      <w:proofErr w:type="spellStart"/>
      <w:r>
        <w:rPr>
          <w:rFonts w:ascii="Times New Roman" w:hAnsi="Times New Roman"/>
          <w:lang w:val="en-GB"/>
        </w:rPr>
        <w:t>Repú</w:t>
      </w:r>
      <w:r w:rsidR="00067A63" w:rsidRPr="00B55B1D">
        <w:rPr>
          <w:rFonts w:ascii="Times New Roman" w:hAnsi="Times New Roman"/>
          <w:lang w:val="en-GB"/>
        </w:rPr>
        <w:t>blica</w:t>
      </w:r>
      <w:proofErr w:type="spellEnd"/>
      <w:r>
        <w:rPr>
          <w:rFonts w:ascii="Times New Roman" w:hAnsi="Times New Roman"/>
          <w:lang w:val="en-GB"/>
        </w:rPr>
        <w:t>)</w:t>
      </w:r>
      <w:r w:rsidR="00067A63" w:rsidRPr="00B55B1D">
        <w:rPr>
          <w:rFonts w:ascii="Times New Roman" w:hAnsi="Times New Roman"/>
          <w:lang w:val="en-GB"/>
        </w:rPr>
        <w:t xml:space="preserve"> </w:t>
      </w:r>
      <w:r w:rsidR="00D7534E" w:rsidRPr="00B55B1D">
        <w:rPr>
          <w:rFonts w:ascii="Times New Roman" w:hAnsi="Times New Roman"/>
          <w:lang w:val="en-GB"/>
        </w:rPr>
        <w:t>(</w:t>
      </w:r>
      <w:r w:rsidR="00067A63" w:rsidRPr="00B55B1D">
        <w:rPr>
          <w:rFonts w:ascii="Times New Roman" w:hAnsi="Times New Roman"/>
          <w:lang w:val="en-GB"/>
        </w:rPr>
        <w:t>2010</w:t>
      </w:r>
      <w:r w:rsidR="00D7534E" w:rsidRPr="00B55B1D">
        <w:rPr>
          <w:rFonts w:ascii="Times New Roman" w:hAnsi="Times New Roman"/>
          <w:lang w:val="en-GB"/>
        </w:rPr>
        <w:t>)</w:t>
      </w:r>
      <w:r w:rsidR="00067A63" w:rsidRPr="00B55B1D">
        <w:rPr>
          <w:rFonts w:ascii="Times New Roman" w:hAnsi="Times New Roman"/>
          <w:lang w:val="en-GB"/>
        </w:rPr>
        <w:t xml:space="preserve"> </w:t>
      </w:r>
      <w:r w:rsidR="002B23D0" w:rsidRPr="00B55B1D">
        <w:rPr>
          <w:rFonts w:ascii="Times New Roman" w:hAnsi="Times New Roman"/>
          <w:lang w:val="en-GB"/>
        </w:rPr>
        <w:t>‘</w:t>
      </w:r>
      <w:proofErr w:type="spellStart"/>
      <w:r w:rsidR="00067A63" w:rsidRPr="00B55B1D">
        <w:rPr>
          <w:rFonts w:ascii="Times New Roman" w:hAnsi="Times New Roman"/>
          <w:lang w:val="en-GB"/>
        </w:rPr>
        <w:t>Sistematización</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Aprobación</w:t>
      </w:r>
      <w:proofErr w:type="spellEnd"/>
      <w:r w:rsidR="00067A63" w:rsidRPr="00B55B1D">
        <w:rPr>
          <w:rFonts w:ascii="Times New Roman" w:hAnsi="Times New Roman"/>
          <w:lang w:val="en-GB"/>
        </w:rPr>
        <w:t xml:space="preserve"> y </w:t>
      </w:r>
      <w:proofErr w:type="spellStart"/>
      <w:r w:rsidR="00067A63" w:rsidRPr="00B55B1D">
        <w:rPr>
          <w:rFonts w:ascii="Times New Roman" w:hAnsi="Times New Roman"/>
          <w:lang w:val="en-GB"/>
        </w:rPr>
        <w:t>entrega</w:t>
      </w:r>
      <w:proofErr w:type="spellEnd"/>
      <w:r w:rsidR="00067A63" w:rsidRPr="00B55B1D">
        <w:rPr>
          <w:rFonts w:ascii="Times New Roman" w:hAnsi="Times New Roman"/>
          <w:lang w:val="en-GB"/>
        </w:rPr>
        <w:t xml:space="preserve"> d</w:t>
      </w:r>
      <w:r>
        <w:rPr>
          <w:rFonts w:ascii="Times New Roman" w:hAnsi="Times New Roman"/>
          <w:lang w:val="en-GB"/>
        </w:rPr>
        <w:t xml:space="preserve">e </w:t>
      </w:r>
      <w:proofErr w:type="spellStart"/>
      <w:r>
        <w:rPr>
          <w:rFonts w:ascii="Times New Roman" w:hAnsi="Times New Roman"/>
          <w:lang w:val="en-GB"/>
        </w:rPr>
        <w:t>tí</w:t>
      </w:r>
      <w:r w:rsidR="00067A63" w:rsidRPr="00B55B1D">
        <w:rPr>
          <w:rFonts w:ascii="Times New Roman" w:hAnsi="Times New Roman"/>
          <w:lang w:val="en-GB"/>
        </w:rPr>
        <w:t>tulos</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propiedad</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comunal</w:t>
      </w:r>
      <w:proofErr w:type="spellEnd"/>
      <w:r w:rsidR="00067A63" w:rsidRPr="00B55B1D">
        <w:rPr>
          <w:rFonts w:ascii="Times New Roman" w:hAnsi="Times New Roman"/>
          <w:lang w:val="en-GB"/>
        </w:rPr>
        <w:t xml:space="preserve"> y territorial, </w:t>
      </w:r>
      <w:proofErr w:type="spellStart"/>
      <w:r w:rsidR="00067A63" w:rsidRPr="00B55B1D">
        <w:rPr>
          <w:rFonts w:ascii="Times New Roman" w:hAnsi="Times New Roman"/>
          <w:lang w:val="en-GB"/>
        </w:rPr>
        <w:t>Régimen</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propiedad</w:t>
      </w:r>
      <w:proofErr w:type="spellEnd"/>
      <w:r w:rsidR="00067A63" w:rsidRPr="00B55B1D">
        <w:rPr>
          <w:rFonts w:ascii="Times New Roman" w:hAnsi="Times New Roman"/>
          <w:lang w:val="en-GB"/>
        </w:rPr>
        <w:t xml:space="preserve"> communal</w:t>
      </w:r>
      <w:r w:rsidR="002B23D0" w:rsidRPr="00B55B1D">
        <w:rPr>
          <w:rFonts w:ascii="Times New Roman" w:hAnsi="Times New Roman"/>
          <w:lang w:val="en-GB"/>
        </w:rPr>
        <w:t>’ (</w:t>
      </w:r>
      <w:proofErr w:type="spellStart"/>
      <w:r w:rsidR="002B23D0" w:rsidRPr="00B55B1D">
        <w:rPr>
          <w:rFonts w:ascii="Times New Roman" w:hAnsi="Times New Roman"/>
          <w:lang w:val="en-GB"/>
        </w:rPr>
        <w:t>Sistematization</w:t>
      </w:r>
      <w:proofErr w:type="spellEnd"/>
      <w:r w:rsidR="002B23D0" w:rsidRPr="00B55B1D">
        <w:rPr>
          <w:rFonts w:ascii="Times New Roman" w:hAnsi="Times New Roman"/>
          <w:lang w:val="en-GB"/>
        </w:rPr>
        <w:t xml:space="preserve"> of approval and delivery of communal and territorial property titles, Common property regime).</w:t>
      </w:r>
      <w:proofErr w:type="gramEnd"/>
      <w:r w:rsidR="002B23D0" w:rsidRPr="00B55B1D">
        <w:rPr>
          <w:rFonts w:ascii="Times New Roman" w:hAnsi="Times New Roman"/>
          <w:lang w:val="en-GB"/>
        </w:rPr>
        <w:t xml:space="preserve"> Managua (m</w:t>
      </w:r>
      <w:r w:rsidR="00067A63" w:rsidRPr="00B55B1D">
        <w:rPr>
          <w:rFonts w:ascii="Times New Roman" w:hAnsi="Times New Roman"/>
          <w:lang w:val="en-GB"/>
        </w:rPr>
        <w:t>imeo</w:t>
      </w:r>
      <w:r w:rsidR="002B23D0" w:rsidRPr="00B55B1D">
        <w:rPr>
          <w:rFonts w:ascii="Times New Roman" w:hAnsi="Times New Roman"/>
          <w:lang w:val="en-GB"/>
        </w:rPr>
        <w:t>)</w:t>
      </w:r>
      <w:r w:rsidR="00067A63" w:rsidRPr="00B55B1D">
        <w:rPr>
          <w:rFonts w:ascii="Times New Roman" w:hAnsi="Times New Roman"/>
          <w:lang w:val="en-GB"/>
        </w:rPr>
        <w:t xml:space="preserve">. </w:t>
      </w:r>
    </w:p>
    <w:p w:rsidR="00067A63" w:rsidRPr="00B55B1D" w:rsidRDefault="00067A63" w:rsidP="00067A63">
      <w:pPr>
        <w:spacing w:after="0"/>
        <w:rPr>
          <w:rFonts w:ascii="Times New Roman" w:hAnsi="Times New Roman" w:cs="Courier New"/>
          <w:sz w:val="22"/>
          <w:szCs w:val="22"/>
          <w:lang w:val="en-GB"/>
        </w:rPr>
      </w:pPr>
    </w:p>
    <w:p w:rsidR="00067A63" w:rsidRPr="00B55B1D" w:rsidRDefault="002B23D0" w:rsidP="00067A63">
      <w:pPr>
        <w:pStyle w:val="Subtitle"/>
        <w:jc w:val="left"/>
        <w:rPr>
          <w:b w:val="0"/>
          <w:sz w:val="24"/>
          <w:lang w:val="en-GB"/>
        </w:rPr>
      </w:pPr>
      <w:proofErr w:type="spellStart"/>
      <w:r w:rsidRPr="00B55B1D">
        <w:rPr>
          <w:b w:val="0"/>
          <w:sz w:val="24"/>
          <w:lang w:val="en-GB"/>
        </w:rPr>
        <w:t>Pulhin</w:t>
      </w:r>
      <w:proofErr w:type="spellEnd"/>
      <w:r w:rsidRPr="00B55B1D">
        <w:rPr>
          <w:b w:val="0"/>
          <w:sz w:val="24"/>
          <w:lang w:val="en-GB"/>
        </w:rPr>
        <w:t xml:space="preserve">, J.M., J.T. </w:t>
      </w:r>
      <w:proofErr w:type="spellStart"/>
      <w:r w:rsidRPr="00B55B1D">
        <w:rPr>
          <w:b w:val="0"/>
          <w:sz w:val="24"/>
          <w:lang w:val="en-GB"/>
        </w:rPr>
        <w:t>Dizon</w:t>
      </w:r>
      <w:proofErr w:type="spellEnd"/>
      <w:r w:rsidRPr="00B55B1D">
        <w:rPr>
          <w:b w:val="0"/>
          <w:sz w:val="24"/>
          <w:lang w:val="en-GB"/>
        </w:rPr>
        <w:t>, R.V.</w:t>
      </w:r>
      <w:r w:rsidR="00067A63" w:rsidRPr="00B55B1D">
        <w:rPr>
          <w:b w:val="0"/>
          <w:sz w:val="24"/>
          <w:lang w:val="en-GB"/>
        </w:rPr>
        <w:t>O. Cruz</w:t>
      </w:r>
      <w:r w:rsidRPr="00B55B1D">
        <w:rPr>
          <w:b w:val="0"/>
          <w:sz w:val="24"/>
          <w:lang w:val="en-GB"/>
        </w:rPr>
        <w:t xml:space="preserve">, D.T. </w:t>
      </w:r>
      <w:proofErr w:type="spellStart"/>
      <w:r w:rsidRPr="00B55B1D">
        <w:rPr>
          <w:b w:val="0"/>
          <w:sz w:val="24"/>
          <w:lang w:val="en-GB"/>
        </w:rPr>
        <w:t>Gevaña</w:t>
      </w:r>
      <w:proofErr w:type="spellEnd"/>
      <w:r w:rsidRPr="00B55B1D">
        <w:rPr>
          <w:b w:val="0"/>
          <w:sz w:val="24"/>
          <w:lang w:val="en-GB"/>
        </w:rPr>
        <w:t xml:space="preserve"> and G.</w:t>
      </w:r>
      <w:r w:rsidR="008C7900" w:rsidRPr="00B55B1D">
        <w:rPr>
          <w:b w:val="0"/>
          <w:sz w:val="24"/>
          <w:lang w:val="en-GB"/>
        </w:rPr>
        <w:t xml:space="preserve">R. </w:t>
      </w:r>
      <w:proofErr w:type="spellStart"/>
      <w:r w:rsidR="008C7900" w:rsidRPr="00B55B1D">
        <w:rPr>
          <w:b w:val="0"/>
          <w:sz w:val="24"/>
          <w:lang w:val="en-GB"/>
        </w:rPr>
        <w:t>Dahal</w:t>
      </w:r>
      <w:proofErr w:type="spellEnd"/>
      <w:r w:rsidR="00067A63" w:rsidRPr="00B55B1D">
        <w:rPr>
          <w:b w:val="0"/>
          <w:sz w:val="24"/>
          <w:lang w:val="en-GB"/>
        </w:rPr>
        <w:t xml:space="preserve"> </w:t>
      </w:r>
      <w:r w:rsidR="00D7534E" w:rsidRPr="00B55B1D">
        <w:rPr>
          <w:b w:val="0"/>
          <w:sz w:val="24"/>
          <w:lang w:val="en-GB"/>
        </w:rPr>
        <w:t>(</w:t>
      </w:r>
      <w:r w:rsidR="00067A63" w:rsidRPr="00B55B1D">
        <w:rPr>
          <w:b w:val="0"/>
          <w:sz w:val="24"/>
          <w:lang w:val="en-GB"/>
        </w:rPr>
        <w:t>2008</w:t>
      </w:r>
      <w:r w:rsidR="00D7534E" w:rsidRPr="00B55B1D">
        <w:rPr>
          <w:b w:val="0"/>
          <w:sz w:val="24"/>
          <w:lang w:val="en-GB"/>
        </w:rPr>
        <w:t>)</w:t>
      </w:r>
      <w:r w:rsidR="00067A63" w:rsidRPr="00B55B1D">
        <w:rPr>
          <w:b w:val="0"/>
          <w:sz w:val="24"/>
          <w:lang w:val="en-GB"/>
        </w:rPr>
        <w:t xml:space="preserve"> </w:t>
      </w:r>
      <w:r w:rsidR="00067A63" w:rsidRPr="00B55B1D">
        <w:rPr>
          <w:b w:val="0"/>
          <w:i/>
          <w:sz w:val="24"/>
          <w:lang w:val="en-GB"/>
        </w:rPr>
        <w:t>Tenure reform on Philippine forest lands: assessment of socio-economic and environmental impacts.</w:t>
      </w:r>
      <w:r w:rsidR="00067A63" w:rsidRPr="00B55B1D">
        <w:rPr>
          <w:b w:val="0"/>
          <w:sz w:val="24"/>
          <w:lang w:val="en-GB"/>
        </w:rPr>
        <w:t xml:space="preserve"> Los </w:t>
      </w:r>
      <w:proofErr w:type="spellStart"/>
      <w:r w:rsidR="00067A63" w:rsidRPr="00B55B1D">
        <w:rPr>
          <w:b w:val="0"/>
          <w:sz w:val="24"/>
          <w:lang w:val="en-GB"/>
        </w:rPr>
        <w:t>Banos</w:t>
      </w:r>
      <w:proofErr w:type="spellEnd"/>
      <w:r w:rsidR="00067A63" w:rsidRPr="00B55B1D">
        <w:rPr>
          <w:b w:val="0"/>
          <w:sz w:val="24"/>
          <w:lang w:val="en-GB"/>
        </w:rPr>
        <w:t xml:space="preserve">: College of Forestry and Natural Resources, University of Philippines. </w:t>
      </w:r>
    </w:p>
    <w:p w:rsidR="00067A63" w:rsidRPr="00B55B1D" w:rsidRDefault="00067A63" w:rsidP="00067A63">
      <w:pPr>
        <w:spacing w:after="0"/>
        <w:rPr>
          <w:rFonts w:ascii="Times New Roman" w:hAnsi="Times New Roman" w:cs="Helvetica"/>
          <w:lang w:val="en-GB"/>
        </w:rPr>
      </w:pPr>
    </w:p>
    <w:p w:rsidR="00067A63" w:rsidRPr="00B55B1D" w:rsidRDefault="00067A63"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proofErr w:type="spellStart"/>
      <w:r w:rsidRPr="00B55B1D">
        <w:rPr>
          <w:rFonts w:ascii="Times New Roman" w:hAnsi="Times New Roman"/>
          <w:lang w:val="en-GB"/>
        </w:rPr>
        <w:t>Ribot</w:t>
      </w:r>
      <w:proofErr w:type="spellEnd"/>
      <w:r w:rsidRPr="00B55B1D">
        <w:rPr>
          <w:rFonts w:ascii="Times New Roman" w:hAnsi="Times New Roman"/>
          <w:lang w:val="en-GB"/>
        </w:rPr>
        <w:t>, J.</w:t>
      </w:r>
      <w:r w:rsidR="002B23D0" w:rsidRPr="00B55B1D">
        <w:rPr>
          <w:rFonts w:ascii="Times New Roman" w:hAnsi="Times New Roman"/>
          <w:lang w:val="en-GB"/>
        </w:rPr>
        <w:t xml:space="preserve">C., A. </w:t>
      </w:r>
      <w:proofErr w:type="spellStart"/>
      <w:r w:rsidR="002B23D0" w:rsidRPr="00B55B1D">
        <w:rPr>
          <w:rFonts w:ascii="Times New Roman" w:hAnsi="Times New Roman"/>
          <w:lang w:val="en-GB"/>
        </w:rPr>
        <w:t>Chhatre</w:t>
      </w:r>
      <w:proofErr w:type="spellEnd"/>
      <w:r w:rsidR="002B23D0" w:rsidRPr="00B55B1D">
        <w:rPr>
          <w:rFonts w:ascii="Times New Roman" w:hAnsi="Times New Roman"/>
          <w:lang w:val="en-GB"/>
        </w:rPr>
        <w:t xml:space="preserve"> </w:t>
      </w:r>
      <w:r w:rsidR="008C7900" w:rsidRPr="00B55B1D">
        <w:rPr>
          <w:rFonts w:ascii="Times New Roman" w:hAnsi="Times New Roman"/>
          <w:lang w:val="en-GB"/>
        </w:rPr>
        <w:t xml:space="preserve">and T. </w:t>
      </w:r>
      <w:proofErr w:type="spellStart"/>
      <w:r w:rsidR="008C7900" w:rsidRPr="00B55B1D">
        <w:rPr>
          <w:rFonts w:ascii="Times New Roman" w:hAnsi="Times New Roman"/>
          <w:lang w:val="en-GB"/>
        </w:rPr>
        <w:t>Lankina</w:t>
      </w:r>
      <w:proofErr w:type="spellEnd"/>
      <w:r w:rsidRPr="00B55B1D">
        <w:rPr>
          <w:rFonts w:ascii="Times New Roman" w:hAnsi="Times New Roman"/>
          <w:lang w:val="en-GB"/>
        </w:rPr>
        <w:t xml:space="preserve"> </w:t>
      </w:r>
      <w:r w:rsidR="00D7534E" w:rsidRPr="00B55B1D">
        <w:rPr>
          <w:rFonts w:ascii="Times New Roman" w:hAnsi="Times New Roman"/>
          <w:lang w:val="en-GB"/>
        </w:rPr>
        <w:t>(2008)</w:t>
      </w:r>
      <w:r w:rsidRPr="00B55B1D">
        <w:rPr>
          <w:rFonts w:ascii="Times New Roman" w:hAnsi="Times New Roman"/>
          <w:lang w:val="en-GB"/>
        </w:rPr>
        <w:t xml:space="preserve"> </w:t>
      </w:r>
      <w:r w:rsidR="002B23D0" w:rsidRPr="00B55B1D">
        <w:rPr>
          <w:rFonts w:ascii="Times New Roman" w:hAnsi="Times New Roman"/>
          <w:lang w:val="en-GB"/>
        </w:rPr>
        <w:t>‘</w:t>
      </w:r>
      <w:r w:rsidRPr="00B55B1D">
        <w:rPr>
          <w:rFonts w:ascii="Times New Roman" w:hAnsi="Times New Roman"/>
          <w:lang w:val="en-GB"/>
        </w:rPr>
        <w:t>Introduction: institutional choice and recognition in the formation and consolidation of local democracy</w:t>
      </w:r>
      <w:r w:rsidR="002B23D0" w:rsidRPr="00B55B1D">
        <w:rPr>
          <w:rFonts w:ascii="Times New Roman" w:hAnsi="Times New Roman"/>
          <w:lang w:val="en-GB"/>
        </w:rPr>
        <w:t>’,</w:t>
      </w:r>
      <w:r w:rsidRPr="00B55B1D">
        <w:rPr>
          <w:rFonts w:ascii="Times New Roman" w:hAnsi="Times New Roman"/>
          <w:lang w:val="en-GB"/>
        </w:rPr>
        <w:t xml:space="preserve"> </w:t>
      </w:r>
      <w:r w:rsidRPr="00B55B1D">
        <w:rPr>
          <w:rFonts w:ascii="Times New Roman" w:hAnsi="Times New Roman"/>
          <w:i/>
          <w:lang w:val="en-GB"/>
        </w:rPr>
        <w:t>Conservation and</w:t>
      </w:r>
      <w:r w:rsidRPr="00B55B1D">
        <w:rPr>
          <w:rFonts w:ascii="Times New Roman" w:hAnsi="Times New Roman"/>
          <w:lang w:val="en-GB"/>
        </w:rPr>
        <w:t xml:space="preserve"> </w:t>
      </w:r>
      <w:r w:rsidRPr="00B55B1D">
        <w:rPr>
          <w:rFonts w:ascii="Times New Roman" w:hAnsi="Times New Roman"/>
          <w:i/>
          <w:lang w:val="en-GB"/>
        </w:rPr>
        <w:t xml:space="preserve">Society </w:t>
      </w:r>
      <w:r w:rsidR="002B23D0" w:rsidRPr="00B55B1D">
        <w:rPr>
          <w:rFonts w:ascii="Times New Roman" w:hAnsi="Times New Roman"/>
          <w:lang w:val="en-GB"/>
        </w:rPr>
        <w:t>6</w:t>
      </w:r>
      <w:r w:rsidRPr="00B55B1D">
        <w:rPr>
          <w:rFonts w:ascii="Times New Roman" w:hAnsi="Times New Roman"/>
          <w:lang w:val="en-GB"/>
        </w:rPr>
        <w:t>(1): 1-11.</w:t>
      </w:r>
    </w:p>
    <w:p w:rsidR="00067A63" w:rsidRPr="00B55B1D" w:rsidRDefault="00067A63"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lang w:val="en-GB"/>
        </w:rPr>
      </w:pPr>
      <w:r w:rsidRPr="00B55B1D">
        <w:rPr>
          <w:rFonts w:ascii="Times New Roman" w:hAnsi="Times New Roman"/>
          <w:lang w:val="en-GB"/>
        </w:rPr>
        <w:t xml:space="preserve">Rice, D. </w:t>
      </w:r>
      <w:r w:rsidR="00D7534E" w:rsidRPr="00B55B1D">
        <w:rPr>
          <w:rFonts w:ascii="Times New Roman" w:hAnsi="Times New Roman"/>
          <w:lang w:val="en-GB"/>
        </w:rPr>
        <w:t>(1994)</w:t>
      </w:r>
      <w:r w:rsidRPr="00B55B1D">
        <w:rPr>
          <w:rFonts w:ascii="Times New Roman" w:hAnsi="Times New Roman"/>
          <w:lang w:val="en-GB"/>
        </w:rPr>
        <w:t xml:space="preserve"> </w:t>
      </w:r>
      <w:r w:rsidR="002B23D0" w:rsidRPr="00B55B1D">
        <w:rPr>
          <w:rFonts w:ascii="Times New Roman" w:hAnsi="Times New Roman"/>
          <w:lang w:val="en-GB"/>
        </w:rPr>
        <w:t>‘</w:t>
      </w:r>
      <w:r w:rsidRPr="00B55B1D">
        <w:rPr>
          <w:rFonts w:ascii="Times New Roman" w:hAnsi="Times New Roman"/>
          <w:lang w:val="en-GB"/>
        </w:rPr>
        <w:t xml:space="preserve">Clearing our own </w:t>
      </w:r>
      <w:proofErr w:type="spellStart"/>
      <w:r w:rsidRPr="00B55B1D">
        <w:rPr>
          <w:rFonts w:ascii="Times New Roman" w:hAnsi="Times New Roman"/>
          <w:lang w:val="en-GB"/>
        </w:rPr>
        <w:t>Ikalahan</w:t>
      </w:r>
      <w:proofErr w:type="spellEnd"/>
      <w:r w:rsidRPr="00B55B1D">
        <w:rPr>
          <w:rFonts w:ascii="Times New Roman" w:hAnsi="Times New Roman"/>
          <w:lang w:val="en-GB"/>
        </w:rPr>
        <w:t xml:space="preserve"> path</w:t>
      </w:r>
      <w:r w:rsidR="002B23D0" w:rsidRPr="00B55B1D">
        <w:rPr>
          <w:rFonts w:ascii="Times New Roman" w:hAnsi="Times New Roman"/>
          <w:lang w:val="en-GB"/>
        </w:rPr>
        <w:t>’, in</w:t>
      </w:r>
      <w:r w:rsidRPr="00B55B1D">
        <w:rPr>
          <w:rFonts w:ascii="Times New Roman" w:hAnsi="Times New Roman"/>
          <w:lang w:val="en-GB"/>
        </w:rPr>
        <w:t xml:space="preserve"> </w:t>
      </w:r>
      <w:r w:rsidR="002B23D0" w:rsidRPr="00B55B1D">
        <w:rPr>
          <w:rFonts w:ascii="Times New Roman" w:hAnsi="Times New Roman"/>
          <w:lang w:val="en-GB"/>
        </w:rPr>
        <w:t xml:space="preserve">J.B. </w:t>
      </w:r>
      <w:proofErr w:type="spellStart"/>
      <w:r w:rsidR="002B23D0" w:rsidRPr="00B55B1D">
        <w:rPr>
          <w:rFonts w:ascii="Times New Roman" w:hAnsi="Times New Roman"/>
          <w:lang w:val="en-GB"/>
        </w:rPr>
        <w:t>Raintree</w:t>
      </w:r>
      <w:proofErr w:type="spellEnd"/>
      <w:r w:rsidR="002B23D0" w:rsidRPr="00B55B1D">
        <w:rPr>
          <w:rFonts w:ascii="Times New Roman" w:hAnsi="Times New Roman"/>
          <w:lang w:val="en-GB"/>
        </w:rPr>
        <w:t>, and H.A. Francisco</w:t>
      </w:r>
      <w:r w:rsidR="002B23D0" w:rsidRPr="00B55B1D">
        <w:rPr>
          <w:rFonts w:ascii="Times New Roman" w:hAnsi="Times New Roman"/>
          <w:i/>
          <w:color w:val="000000"/>
          <w:lang w:val="en-GB"/>
        </w:rPr>
        <w:t xml:space="preserve"> </w:t>
      </w:r>
      <w:r w:rsidR="002B23D0" w:rsidRPr="00B55B1D">
        <w:rPr>
          <w:rFonts w:ascii="Times New Roman" w:hAnsi="Times New Roman"/>
          <w:color w:val="000000"/>
          <w:lang w:val="en-GB"/>
        </w:rPr>
        <w:t>(</w:t>
      </w:r>
      <w:proofErr w:type="spellStart"/>
      <w:r w:rsidR="002B23D0" w:rsidRPr="00B55B1D">
        <w:rPr>
          <w:rFonts w:ascii="Times New Roman" w:hAnsi="Times New Roman"/>
          <w:color w:val="000000"/>
          <w:lang w:val="en-GB"/>
        </w:rPr>
        <w:t>eds</w:t>
      </w:r>
      <w:proofErr w:type="spellEnd"/>
      <w:r w:rsidR="002B23D0" w:rsidRPr="00B55B1D">
        <w:rPr>
          <w:rFonts w:ascii="Times New Roman" w:hAnsi="Times New Roman"/>
          <w:color w:val="000000"/>
          <w:lang w:val="en-GB"/>
        </w:rPr>
        <w:t xml:space="preserve">) </w:t>
      </w:r>
      <w:r w:rsidRPr="00B55B1D">
        <w:rPr>
          <w:rFonts w:ascii="Times New Roman" w:hAnsi="Times New Roman"/>
          <w:i/>
          <w:color w:val="000000"/>
          <w:lang w:val="en-GB"/>
        </w:rPr>
        <w:t>Marketing of Multipurpose Tree Products in Asia</w:t>
      </w:r>
      <w:r w:rsidR="002B23D0" w:rsidRPr="00B55B1D">
        <w:rPr>
          <w:rFonts w:ascii="Times New Roman" w:hAnsi="Times New Roman"/>
          <w:i/>
          <w:color w:val="000000"/>
          <w:lang w:val="en-GB"/>
        </w:rPr>
        <w:t xml:space="preserve">. </w:t>
      </w:r>
      <w:r w:rsidRPr="00B55B1D">
        <w:rPr>
          <w:rFonts w:ascii="Times New Roman" w:hAnsi="Times New Roman"/>
          <w:color w:val="000000"/>
          <w:lang w:val="en-GB"/>
        </w:rPr>
        <w:t xml:space="preserve">Conference Proceedings of Multipurpose Tree Species Research Network in Asia. </w:t>
      </w:r>
      <w:hyperlink r:id="rId11" w:history="1">
        <w:r w:rsidR="002B23D0" w:rsidRPr="00B55B1D">
          <w:rPr>
            <w:rStyle w:val="Hyperlink"/>
            <w:rFonts w:ascii="Times New Roman" w:hAnsi="Times New Roman"/>
            <w:lang w:val="en-GB"/>
          </w:rPr>
          <w:t>http://www.fao.org/docrep/x0271e/x0271e03.htm</w:t>
        </w:r>
      </w:hyperlink>
      <w:r w:rsidRPr="00B55B1D">
        <w:rPr>
          <w:rFonts w:ascii="Times New Roman" w:hAnsi="Times New Roman"/>
          <w:color w:val="000000"/>
          <w:lang w:val="en-GB"/>
        </w:rPr>
        <w:t xml:space="preserve"> (accessed </w:t>
      </w:r>
      <w:r w:rsidR="002B23D0" w:rsidRPr="00B55B1D">
        <w:rPr>
          <w:rFonts w:ascii="Times New Roman" w:hAnsi="Times New Roman"/>
          <w:color w:val="000000"/>
          <w:lang w:val="en-GB"/>
        </w:rPr>
        <w:t xml:space="preserve">10 January </w:t>
      </w:r>
      <w:r w:rsidRPr="00B55B1D">
        <w:rPr>
          <w:rFonts w:ascii="Times New Roman" w:hAnsi="Times New Roman"/>
          <w:color w:val="000000"/>
          <w:lang w:val="en-GB"/>
        </w:rPr>
        <w:t>2009).</w:t>
      </w:r>
    </w:p>
    <w:p w:rsidR="00067A63" w:rsidRPr="00B55B1D" w:rsidRDefault="00D7534E" w:rsidP="00067A63">
      <w:pPr>
        <w:rPr>
          <w:rFonts w:ascii="Times New Roman" w:hAnsi="Times New Roman"/>
          <w:lang w:val="en-GB"/>
        </w:rPr>
      </w:pPr>
      <w:r w:rsidRPr="00B55B1D">
        <w:rPr>
          <w:rFonts w:ascii="Times New Roman" w:hAnsi="Times New Roman"/>
          <w:lang w:val="en-GB"/>
        </w:rPr>
        <w:t>Rice, D. (2001)</w:t>
      </w:r>
      <w:r w:rsidR="00067A63" w:rsidRPr="00B55B1D">
        <w:rPr>
          <w:rFonts w:ascii="Times New Roman" w:hAnsi="Times New Roman"/>
          <w:lang w:val="en-GB"/>
        </w:rPr>
        <w:t xml:space="preserve"> </w:t>
      </w:r>
      <w:r w:rsidR="00067A63" w:rsidRPr="00B55B1D">
        <w:rPr>
          <w:rFonts w:ascii="Times New Roman" w:hAnsi="Times New Roman"/>
          <w:i/>
          <w:lang w:val="en-GB"/>
        </w:rPr>
        <w:t xml:space="preserve">Forest management by a forest community: the experience of the </w:t>
      </w:r>
      <w:proofErr w:type="spellStart"/>
      <w:r w:rsidR="00067A63" w:rsidRPr="00B55B1D">
        <w:rPr>
          <w:rFonts w:ascii="Times New Roman" w:hAnsi="Times New Roman"/>
          <w:i/>
          <w:lang w:val="en-GB"/>
        </w:rPr>
        <w:t>Ikalahan</w:t>
      </w:r>
      <w:proofErr w:type="spellEnd"/>
      <w:r w:rsidR="00067A63" w:rsidRPr="00B55B1D">
        <w:rPr>
          <w:rFonts w:ascii="Times New Roman" w:hAnsi="Times New Roman"/>
          <w:lang w:val="en-GB"/>
        </w:rPr>
        <w:t xml:space="preserve">. Philippines: </w:t>
      </w:r>
      <w:proofErr w:type="spellStart"/>
      <w:r w:rsidR="00067A63" w:rsidRPr="00B55B1D">
        <w:rPr>
          <w:rFonts w:ascii="Times New Roman" w:hAnsi="Times New Roman"/>
          <w:lang w:val="en-GB"/>
        </w:rPr>
        <w:t>Kalahan</w:t>
      </w:r>
      <w:proofErr w:type="spellEnd"/>
      <w:r w:rsidR="00067A63" w:rsidRPr="00B55B1D">
        <w:rPr>
          <w:rFonts w:ascii="Times New Roman" w:hAnsi="Times New Roman"/>
          <w:lang w:val="en-GB"/>
        </w:rPr>
        <w:t xml:space="preserve"> Educational Foundation.</w:t>
      </w:r>
    </w:p>
    <w:p w:rsidR="00067A63" w:rsidRPr="00B55B1D" w:rsidRDefault="002B23D0" w:rsidP="00067A63">
      <w:pPr>
        <w:widowControl w:val="0"/>
        <w:rPr>
          <w:rFonts w:ascii="Times New Roman" w:hAnsi="Times New Roman"/>
          <w:lang w:val="en-GB"/>
        </w:rPr>
      </w:pPr>
      <w:proofErr w:type="spellStart"/>
      <w:r w:rsidRPr="00B55B1D">
        <w:rPr>
          <w:rFonts w:ascii="Times New Roman" w:hAnsi="Times New Roman"/>
          <w:lang w:val="en-GB"/>
        </w:rPr>
        <w:t>Sikor</w:t>
      </w:r>
      <w:proofErr w:type="spellEnd"/>
      <w:r w:rsidRPr="00B55B1D">
        <w:rPr>
          <w:rFonts w:ascii="Times New Roman" w:hAnsi="Times New Roman"/>
          <w:lang w:val="en-GB"/>
        </w:rPr>
        <w:t>, T.</w:t>
      </w:r>
      <w:r w:rsidR="008C7900" w:rsidRPr="00B55B1D">
        <w:rPr>
          <w:rFonts w:ascii="Times New Roman" w:hAnsi="Times New Roman"/>
          <w:lang w:val="en-GB"/>
        </w:rPr>
        <w:t xml:space="preserve"> and C. Lund</w:t>
      </w:r>
      <w:r w:rsidR="00067A63" w:rsidRPr="00B55B1D">
        <w:rPr>
          <w:rFonts w:ascii="Times New Roman" w:hAnsi="Times New Roman"/>
          <w:lang w:val="en-GB"/>
        </w:rPr>
        <w:t xml:space="preserve"> </w:t>
      </w:r>
      <w:r w:rsidR="00D7534E" w:rsidRPr="00B55B1D">
        <w:rPr>
          <w:rFonts w:ascii="Times New Roman" w:hAnsi="Times New Roman"/>
          <w:lang w:val="en-GB"/>
        </w:rPr>
        <w:t xml:space="preserve">(2009) </w:t>
      </w:r>
      <w:r w:rsidRPr="00B55B1D">
        <w:rPr>
          <w:rFonts w:ascii="Times New Roman" w:hAnsi="Times New Roman"/>
          <w:lang w:val="en-GB"/>
        </w:rPr>
        <w:t>‘</w:t>
      </w:r>
      <w:r w:rsidR="00067A63" w:rsidRPr="00B55B1D">
        <w:rPr>
          <w:rFonts w:ascii="Times New Roman" w:hAnsi="Times New Roman"/>
          <w:lang w:val="en-GB"/>
        </w:rPr>
        <w:t xml:space="preserve">Access and property: a </w:t>
      </w:r>
      <w:r w:rsidRPr="00B55B1D">
        <w:rPr>
          <w:rFonts w:ascii="Times New Roman" w:hAnsi="Times New Roman"/>
          <w:lang w:val="en-GB"/>
        </w:rPr>
        <w:t>question of power and authority’,</w:t>
      </w:r>
      <w:r w:rsidR="00067A63" w:rsidRPr="00B55B1D">
        <w:rPr>
          <w:rFonts w:ascii="Times New Roman" w:hAnsi="Times New Roman"/>
          <w:lang w:val="en-GB"/>
        </w:rPr>
        <w:t xml:space="preserve"> </w:t>
      </w:r>
      <w:r w:rsidR="00067A63" w:rsidRPr="00B55B1D">
        <w:rPr>
          <w:rFonts w:ascii="Times New Roman" w:hAnsi="Times New Roman"/>
          <w:i/>
          <w:lang w:val="en-GB"/>
        </w:rPr>
        <w:t>Development and Change</w:t>
      </w:r>
      <w:r w:rsidRPr="00B55B1D">
        <w:rPr>
          <w:rFonts w:ascii="Times New Roman" w:hAnsi="Times New Roman"/>
          <w:lang w:val="en-GB"/>
        </w:rPr>
        <w:t xml:space="preserve"> 40</w:t>
      </w:r>
      <w:r w:rsidR="00067A63" w:rsidRPr="00B55B1D">
        <w:rPr>
          <w:rFonts w:ascii="Times New Roman" w:hAnsi="Times New Roman"/>
          <w:lang w:val="en-GB"/>
        </w:rPr>
        <w:t>(1): 1-22.</w:t>
      </w:r>
    </w:p>
    <w:p w:rsidR="00067A63" w:rsidRPr="00B55B1D" w:rsidRDefault="008C7900" w:rsidP="00067A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lang w:val="en-GB"/>
        </w:rPr>
      </w:pPr>
      <w:r w:rsidRPr="00B55B1D">
        <w:rPr>
          <w:rFonts w:ascii="Times New Roman" w:hAnsi="Times New Roman"/>
          <w:lang w:val="en-GB"/>
        </w:rPr>
        <w:t>Stocks, A.</w:t>
      </w:r>
      <w:r w:rsidR="00067A63" w:rsidRPr="00B55B1D">
        <w:rPr>
          <w:rFonts w:ascii="Times New Roman" w:hAnsi="Times New Roman"/>
          <w:lang w:val="en-GB"/>
        </w:rPr>
        <w:t xml:space="preserve"> </w:t>
      </w:r>
      <w:r w:rsidR="00D7534E" w:rsidRPr="00B55B1D">
        <w:rPr>
          <w:rFonts w:ascii="Times New Roman" w:hAnsi="Times New Roman"/>
          <w:lang w:val="en-GB"/>
        </w:rPr>
        <w:t>(2005)</w:t>
      </w:r>
      <w:r w:rsidR="00067A63" w:rsidRPr="00B55B1D">
        <w:rPr>
          <w:rFonts w:ascii="Times New Roman" w:hAnsi="Times New Roman"/>
          <w:lang w:val="en-GB"/>
        </w:rPr>
        <w:t xml:space="preserve"> </w:t>
      </w:r>
      <w:r w:rsidR="002B23D0" w:rsidRPr="00B55B1D">
        <w:rPr>
          <w:rFonts w:ascii="Times New Roman" w:hAnsi="Times New Roman"/>
          <w:lang w:val="en-GB"/>
        </w:rPr>
        <w:t>‘</w:t>
      </w:r>
      <w:r w:rsidR="00067A63" w:rsidRPr="00B55B1D">
        <w:rPr>
          <w:rFonts w:ascii="Times New Roman" w:hAnsi="Times New Roman"/>
          <w:lang w:val="en-GB"/>
        </w:rPr>
        <w:t>Too much for too few: problems of indigenou</w:t>
      </w:r>
      <w:r w:rsidR="002B23D0" w:rsidRPr="00B55B1D">
        <w:rPr>
          <w:rFonts w:ascii="Times New Roman" w:hAnsi="Times New Roman"/>
          <w:lang w:val="en-GB"/>
        </w:rPr>
        <w:t xml:space="preserve">s land rights in Latin America’, </w:t>
      </w:r>
      <w:r w:rsidR="00067A63" w:rsidRPr="00B55B1D">
        <w:rPr>
          <w:rFonts w:ascii="Times New Roman" w:hAnsi="Times New Roman"/>
          <w:i/>
          <w:lang w:val="en-GB"/>
        </w:rPr>
        <w:t>A</w:t>
      </w:r>
      <w:r w:rsidRPr="00B55B1D">
        <w:rPr>
          <w:rFonts w:ascii="Times New Roman" w:hAnsi="Times New Roman"/>
          <w:i/>
          <w:lang w:val="en-GB"/>
        </w:rPr>
        <w:t>nnual Review of Anthropology</w:t>
      </w:r>
      <w:r w:rsidRPr="00B55B1D">
        <w:rPr>
          <w:rFonts w:ascii="Times New Roman" w:hAnsi="Times New Roman"/>
          <w:lang w:val="en-GB"/>
        </w:rPr>
        <w:t xml:space="preserve"> 34:</w:t>
      </w:r>
      <w:r w:rsidR="00067A63" w:rsidRPr="00B55B1D">
        <w:rPr>
          <w:rFonts w:ascii="Times New Roman" w:hAnsi="Times New Roman"/>
          <w:lang w:val="en-GB"/>
        </w:rPr>
        <w:t xml:space="preserve"> 85-104.</w:t>
      </w:r>
    </w:p>
    <w:p w:rsidR="00067A63" w:rsidRPr="00B55B1D" w:rsidRDefault="00067A63" w:rsidP="00067A63">
      <w:pPr>
        <w:widowControl w:val="0"/>
        <w:autoSpaceDE w:val="0"/>
        <w:autoSpaceDN w:val="0"/>
        <w:adjustRightInd w:val="0"/>
        <w:spacing w:after="0"/>
        <w:rPr>
          <w:rFonts w:ascii="Times New Roman" w:eastAsiaTheme="minorHAnsi" w:hAnsi="Times New Roman" w:cs="Frutiger-Light"/>
          <w:szCs w:val="18"/>
          <w:lang w:val="en-GB"/>
        </w:rPr>
      </w:pPr>
      <w:proofErr w:type="spellStart"/>
      <w:r w:rsidRPr="00B55B1D">
        <w:rPr>
          <w:rFonts w:ascii="Times New Roman" w:eastAsiaTheme="minorHAnsi" w:hAnsi="Times New Roman" w:cs="Frutiger-Light"/>
          <w:szCs w:val="18"/>
          <w:lang w:val="en-GB"/>
        </w:rPr>
        <w:t>Suchm</w:t>
      </w:r>
      <w:r w:rsidR="008C7900" w:rsidRPr="00B55B1D">
        <w:rPr>
          <w:rFonts w:ascii="Times New Roman" w:eastAsiaTheme="minorHAnsi" w:hAnsi="Times New Roman" w:cs="Frutiger-Light"/>
          <w:szCs w:val="18"/>
          <w:lang w:val="en-GB"/>
        </w:rPr>
        <w:t>an</w:t>
      </w:r>
      <w:proofErr w:type="spellEnd"/>
      <w:r w:rsidR="008C7900" w:rsidRPr="00B55B1D">
        <w:rPr>
          <w:rFonts w:ascii="Times New Roman" w:eastAsiaTheme="minorHAnsi" w:hAnsi="Times New Roman" w:cs="Frutiger-Light"/>
          <w:szCs w:val="18"/>
          <w:lang w:val="en-GB"/>
        </w:rPr>
        <w:t>, M.</w:t>
      </w:r>
      <w:r w:rsidRPr="00B55B1D">
        <w:rPr>
          <w:rFonts w:ascii="Times New Roman" w:eastAsiaTheme="minorHAnsi" w:hAnsi="Times New Roman" w:cs="Frutiger-Light"/>
          <w:szCs w:val="18"/>
          <w:lang w:val="en-GB"/>
        </w:rPr>
        <w:t xml:space="preserve">C. </w:t>
      </w:r>
      <w:r w:rsidR="00D7534E" w:rsidRPr="00B55B1D">
        <w:rPr>
          <w:rFonts w:ascii="Times New Roman" w:eastAsiaTheme="minorHAnsi" w:hAnsi="Times New Roman" w:cs="Frutiger-Light"/>
          <w:szCs w:val="18"/>
          <w:lang w:val="en-GB"/>
        </w:rPr>
        <w:t>(1995)</w:t>
      </w:r>
      <w:r w:rsidRPr="00B55B1D">
        <w:rPr>
          <w:rFonts w:ascii="Times New Roman" w:eastAsiaTheme="minorHAnsi" w:hAnsi="Times New Roman" w:cs="Frutiger-Light"/>
          <w:szCs w:val="18"/>
          <w:lang w:val="en-GB"/>
        </w:rPr>
        <w:t xml:space="preserve"> </w:t>
      </w:r>
      <w:r w:rsidR="002B23D0" w:rsidRPr="00B55B1D">
        <w:rPr>
          <w:rFonts w:ascii="Times New Roman" w:eastAsiaTheme="minorHAnsi" w:hAnsi="Times New Roman" w:cs="Frutiger-Light"/>
          <w:szCs w:val="18"/>
          <w:lang w:val="en-GB"/>
        </w:rPr>
        <w:t>‘</w:t>
      </w:r>
      <w:r w:rsidRPr="00B55B1D">
        <w:rPr>
          <w:rFonts w:ascii="Times New Roman" w:eastAsiaTheme="minorHAnsi" w:hAnsi="Times New Roman" w:cs="Frutiger-Light"/>
          <w:szCs w:val="18"/>
          <w:lang w:val="en-GB"/>
        </w:rPr>
        <w:t>Managing legitimacy: Strateg</w:t>
      </w:r>
      <w:r w:rsidR="002B23D0" w:rsidRPr="00B55B1D">
        <w:rPr>
          <w:rFonts w:ascii="Times New Roman" w:eastAsiaTheme="minorHAnsi" w:hAnsi="Times New Roman" w:cs="Frutiger-Light"/>
          <w:szCs w:val="18"/>
          <w:lang w:val="en-GB"/>
        </w:rPr>
        <w:t>ic and institutional approaches’,</w:t>
      </w:r>
      <w:r w:rsidRPr="00B55B1D">
        <w:rPr>
          <w:rFonts w:ascii="Times New Roman" w:eastAsiaTheme="minorHAnsi" w:hAnsi="Times New Roman" w:cs="Frutiger-Light"/>
          <w:szCs w:val="18"/>
          <w:lang w:val="en-GB"/>
        </w:rPr>
        <w:t xml:space="preserve"> </w:t>
      </w:r>
      <w:r w:rsidRPr="00B55B1D">
        <w:rPr>
          <w:rFonts w:ascii="Times New Roman" w:eastAsiaTheme="minorHAnsi" w:hAnsi="Times New Roman" w:cs="Frutiger-Light"/>
          <w:i/>
          <w:iCs/>
          <w:szCs w:val="18"/>
          <w:lang w:val="en-GB"/>
        </w:rPr>
        <w:t>Academy of Management Review</w:t>
      </w:r>
      <w:r w:rsidRPr="00B55B1D">
        <w:rPr>
          <w:rFonts w:ascii="Times New Roman" w:eastAsiaTheme="minorHAnsi" w:hAnsi="Times New Roman" w:cs="Frutiger-Light"/>
          <w:szCs w:val="18"/>
          <w:lang w:val="en-GB"/>
        </w:rPr>
        <w:t xml:space="preserve"> 20: 571–610.</w:t>
      </w:r>
    </w:p>
    <w:p w:rsidR="00067A63" w:rsidRPr="00B55B1D" w:rsidRDefault="00067A63" w:rsidP="00067A63">
      <w:pPr>
        <w:widowControl w:val="0"/>
        <w:autoSpaceDE w:val="0"/>
        <w:autoSpaceDN w:val="0"/>
        <w:adjustRightInd w:val="0"/>
        <w:spacing w:after="0"/>
        <w:rPr>
          <w:rFonts w:ascii="Times New Roman" w:eastAsiaTheme="minorHAnsi" w:hAnsi="Times New Roman" w:cs="Frutiger-Light"/>
          <w:szCs w:val="18"/>
          <w:lang w:val="en-GB"/>
        </w:rPr>
      </w:pPr>
    </w:p>
    <w:p w:rsidR="00067A63" w:rsidRPr="00B55B1D" w:rsidRDefault="00067A63" w:rsidP="00067A63">
      <w:pPr>
        <w:rPr>
          <w:rFonts w:ascii="Times New Roman" w:hAnsi="Times New Roman"/>
          <w:lang w:val="en-GB"/>
        </w:rPr>
      </w:pPr>
      <w:proofErr w:type="spellStart"/>
      <w:proofErr w:type="gramStart"/>
      <w:r w:rsidRPr="00B55B1D">
        <w:rPr>
          <w:rFonts w:ascii="Times New Roman" w:hAnsi="Times New Roman"/>
          <w:lang w:val="en-GB"/>
        </w:rPr>
        <w:t>Sunderlin</w:t>
      </w:r>
      <w:proofErr w:type="spellEnd"/>
      <w:r w:rsidR="001B7287" w:rsidRPr="00B55B1D">
        <w:rPr>
          <w:rFonts w:ascii="Times New Roman" w:hAnsi="Times New Roman"/>
          <w:lang w:val="en-GB"/>
        </w:rPr>
        <w:t>, W., J. Hatcher</w:t>
      </w:r>
      <w:r w:rsidR="008C7900" w:rsidRPr="00B55B1D">
        <w:rPr>
          <w:rFonts w:ascii="Times New Roman" w:hAnsi="Times New Roman"/>
          <w:lang w:val="en-GB"/>
        </w:rPr>
        <w:t xml:space="preserve"> and M. </w:t>
      </w:r>
      <w:proofErr w:type="spellStart"/>
      <w:r w:rsidR="008C7900" w:rsidRPr="00B55B1D">
        <w:rPr>
          <w:rFonts w:ascii="Times New Roman" w:hAnsi="Times New Roman"/>
          <w:lang w:val="en-GB"/>
        </w:rPr>
        <w:t>Liddle</w:t>
      </w:r>
      <w:proofErr w:type="spellEnd"/>
      <w:r w:rsidRPr="00B55B1D">
        <w:rPr>
          <w:rFonts w:ascii="Times New Roman" w:hAnsi="Times New Roman"/>
          <w:lang w:val="en-GB"/>
        </w:rPr>
        <w:t xml:space="preserve"> </w:t>
      </w:r>
      <w:r w:rsidR="00D7534E" w:rsidRPr="00B55B1D">
        <w:rPr>
          <w:rFonts w:ascii="Times New Roman" w:hAnsi="Times New Roman"/>
          <w:lang w:val="en-GB"/>
        </w:rPr>
        <w:t>(2008)</w:t>
      </w:r>
      <w:r w:rsidRPr="00B55B1D">
        <w:rPr>
          <w:rFonts w:ascii="Times New Roman" w:hAnsi="Times New Roman"/>
          <w:lang w:val="en-GB"/>
        </w:rPr>
        <w:t xml:space="preserve"> </w:t>
      </w:r>
      <w:r w:rsidRPr="00B55B1D">
        <w:rPr>
          <w:rFonts w:ascii="Times New Roman" w:hAnsi="Times New Roman"/>
          <w:i/>
          <w:lang w:val="en-GB"/>
        </w:rPr>
        <w:t>From Exclusion to Ownership?</w:t>
      </w:r>
      <w:proofErr w:type="gramEnd"/>
      <w:r w:rsidRPr="00B55B1D">
        <w:rPr>
          <w:rFonts w:ascii="Times New Roman" w:hAnsi="Times New Roman"/>
          <w:i/>
          <w:lang w:val="en-GB"/>
        </w:rPr>
        <w:t xml:space="preserve"> </w:t>
      </w:r>
      <w:proofErr w:type="gramStart"/>
      <w:r w:rsidRPr="00B55B1D">
        <w:rPr>
          <w:rFonts w:ascii="Times New Roman" w:hAnsi="Times New Roman"/>
          <w:i/>
          <w:lang w:val="en-GB"/>
        </w:rPr>
        <w:t>Challenges and Opportunities in Advancing Forest Tenure Reform</w:t>
      </w:r>
      <w:r w:rsidRPr="00B55B1D">
        <w:rPr>
          <w:rFonts w:ascii="Times New Roman" w:hAnsi="Times New Roman"/>
          <w:lang w:val="en-GB"/>
        </w:rPr>
        <w:t>.</w:t>
      </w:r>
      <w:proofErr w:type="gramEnd"/>
      <w:r w:rsidRPr="00B55B1D">
        <w:rPr>
          <w:rFonts w:ascii="Times New Roman" w:hAnsi="Times New Roman"/>
          <w:lang w:val="en-GB"/>
        </w:rPr>
        <w:t xml:space="preserve"> Washington, DC: Rights and Resource Initiative.</w:t>
      </w:r>
    </w:p>
    <w:p w:rsidR="00067A63" w:rsidRPr="00B55B1D" w:rsidRDefault="00067A63" w:rsidP="00067A63">
      <w:pPr>
        <w:rPr>
          <w:rFonts w:ascii="Times New Roman" w:hAnsi="Times New Roman"/>
          <w:lang w:val="en-GB"/>
        </w:rPr>
      </w:pPr>
      <w:r w:rsidRPr="00B55B1D">
        <w:rPr>
          <w:rFonts w:ascii="Times New Roman" w:hAnsi="Times New Roman"/>
          <w:lang w:val="en-GB"/>
        </w:rPr>
        <w:t xml:space="preserve">Taylor, C. </w:t>
      </w:r>
      <w:r w:rsidR="00D7534E" w:rsidRPr="00B55B1D">
        <w:rPr>
          <w:rFonts w:ascii="Times New Roman" w:hAnsi="Times New Roman"/>
          <w:lang w:val="en-GB"/>
        </w:rPr>
        <w:t>(</w:t>
      </w:r>
      <w:r w:rsidRPr="00B55B1D">
        <w:rPr>
          <w:rFonts w:ascii="Times New Roman" w:hAnsi="Times New Roman"/>
          <w:lang w:val="en-GB"/>
        </w:rPr>
        <w:t>1994</w:t>
      </w:r>
      <w:r w:rsidR="00D7534E" w:rsidRPr="00B55B1D">
        <w:rPr>
          <w:rFonts w:ascii="Times New Roman" w:hAnsi="Times New Roman"/>
          <w:lang w:val="en-GB"/>
        </w:rPr>
        <w:t>)</w:t>
      </w:r>
      <w:r w:rsidRPr="00B55B1D">
        <w:rPr>
          <w:rFonts w:ascii="Times New Roman" w:hAnsi="Times New Roman"/>
          <w:lang w:val="en-GB"/>
        </w:rPr>
        <w:t xml:space="preserve"> </w:t>
      </w:r>
      <w:r w:rsidRPr="00B55B1D">
        <w:rPr>
          <w:rFonts w:ascii="Times New Roman" w:hAnsi="Times New Roman"/>
          <w:i/>
          <w:lang w:val="en-GB"/>
        </w:rPr>
        <w:t>Multiculturalism: Examining the Politics of Recognition</w:t>
      </w:r>
      <w:r w:rsidR="002B23D0" w:rsidRPr="00B55B1D">
        <w:rPr>
          <w:rFonts w:ascii="Times New Roman" w:hAnsi="Times New Roman"/>
          <w:i/>
          <w:lang w:val="en-GB"/>
        </w:rPr>
        <w:t>.</w:t>
      </w:r>
      <w:r w:rsidRPr="00B55B1D">
        <w:rPr>
          <w:rFonts w:ascii="Times New Roman" w:hAnsi="Times New Roman"/>
          <w:lang w:val="en-GB"/>
        </w:rPr>
        <w:t xml:space="preserve"> </w:t>
      </w:r>
      <w:r w:rsidR="002B23D0" w:rsidRPr="00B55B1D">
        <w:rPr>
          <w:rFonts w:ascii="Times New Roman" w:hAnsi="Times New Roman"/>
          <w:lang w:val="en-GB"/>
        </w:rPr>
        <w:t>Princeton</w:t>
      </w:r>
      <w:r w:rsidR="00D700B3" w:rsidRPr="00B55B1D">
        <w:rPr>
          <w:rFonts w:ascii="Times New Roman" w:hAnsi="Times New Roman"/>
          <w:lang w:val="en-GB"/>
        </w:rPr>
        <w:t xml:space="preserve">: </w:t>
      </w:r>
      <w:r w:rsidRPr="00B55B1D">
        <w:rPr>
          <w:rFonts w:ascii="Times New Roman" w:hAnsi="Times New Roman"/>
          <w:lang w:val="en-GB"/>
        </w:rPr>
        <w:t>Princeton Universi</w:t>
      </w:r>
      <w:r w:rsidR="00D700B3" w:rsidRPr="00B55B1D">
        <w:rPr>
          <w:rFonts w:ascii="Times New Roman" w:hAnsi="Times New Roman"/>
          <w:lang w:val="en-GB"/>
        </w:rPr>
        <w:t>ty Press.</w:t>
      </w:r>
    </w:p>
    <w:p w:rsidR="00067A63" w:rsidRPr="00B55B1D" w:rsidRDefault="00067A63" w:rsidP="00067A63">
      <w:pPr>
        <w:rPr>
          <w:rFonts w:ascii="Times New Roman" w:hAnsi="Times New Roman"/>
          <w:lang w:val="en-GB"/>
        </w:rPr>
      </w:pPr>
      <w:proofErr w:type="gramStart"/>
      <w:r w:rsidRPr="00B55B1D">
        <w:rPr>
          <w:rFonts w:ascii="Times New Roman" w:hAnsi="Times New Roman"/>
          <w:lang w:val="en-GB"/>
        </w:rPr>
        <w:t xml:space="preserve">Tyler, T.R. </w:t>
      </w:r>
      <w:r w:rsidR="00D7534E" w:rsidRPr="00B55B1D">
        <w:rPr>
          <w:rFonts w:ascii="Times New Roman" w:hAnsi="Times New Roman"/>
          <w:lang w:val="en-GB"/>
        </w:rPr>
        <w:t>(</w:t>
      </w:r>
      <w:r w:rsidRPr="00B55B1D">
        <w:rPr>
          <w:rFonts w:ascii="Times New Roman" w:hAnsi="Times New Roman"/>
          <w:lang w:val="en-GB"/>
        </w:rPr>
        <w:t>2006</w:t>
      </w:r>
      <w:r w:rsidR="00D7534E" w:rsidRPr="00B55B1D">
        <w:rPr>
          <w:rFonts w:ascii="Times New Roman" w:hAnsi="Times New Roman"/>
          <w:lang w:val="en-GB"/>
        </w:rPr>
        <w:t>)</w:t>
      </w:r>
      <w:r w:rsidRPr="00B55B1D">
        <w:rPr>
          <w:rFonts w:ascii="Times New Roman" w:hAnsi="Times New Roman"/>
          <w:lang w:val="en-GB"/>
        </w:rPr>
        <w:t xml:space="preserve"> </w:t>
      </w:r>
      <w:r w:rsidR="002B23D0" w:rsidRPr="00B55B1D">
        <w:rPr>
          <w:rFonts w:ascii="Times New Roman" w:hAnsi="Times New Roman"/>
          <w:lang w:val="en-GB"/>
        </w:rPr>
        <w:t>‘</w:t>
      </w:r>
      <w:r w:rsidRPr="00B55B1D">
        <w:rPr>
          <w:rFonts w:ascii="Times New Roman" w:hAnsi="Times New Roman"/>
          <w:lang w:val="en-GB"/>
        </w:rPr>
        <w:t>Psychological perspectives</w:t>
      </w:r>
      <w:r w:rsidR="002B23D0" w:rsidRPr="00B55B1D">
        <w:rPr>
          <w:rFonts w:ascii="Times New Roman" w:hAnsi="Times New Roman"/>
          <w:lang w:val="en-GB"/>
        </w:rPr>
        <w:t xml:space="preserve"> on legitimacy and legitimation’,</w:t>
      </w:r>
      <w:r w:rsidRPr="00B55B1D">
        <w:rPr>
          <w:rFonts w:ascii="Times New Roman" w:hAnsi="Times New Roman"/>
          <w:lang w:val="en-GB"/>
        </w:rPr>
        <w:t xml:space="preserve"> </w:t>
      </w:r>
      <w:r w:rsidR="0091579E" w:rsidRPr="00B55B1D">
        <w:rPr>
          <w:rFonts w:ascii="Times New Roman" w:hAnsi="Times New Roman"/>
          <w:i/>
          <w:lang w:val="en-GB"/>
        </w:rPr>
        <w:t>Annual</w:t>
      </w:r>
      <w:r w:rsidR="0091579E" w:rsidRPr="00B55B1D">
        <w:rPr>
          <w:rFonts w:ascii="Times New Roman" w:hAnsi="Times New Roman"/>
          <w:lang w:val="en-GB"/>
        </w:rPr>
        <w:t xml:space="preserve"> </w:t>
      </w:r>
      <w:r w:rsidR="0091579E" w:rsidRPr="00B55B1D">
        <w:rPr>
          <w:rFonts w:ascii="Times New Roman" w:hAnsi="Times New Roman"/>
          <w:i/>
          <w:lang w:val="en-GB"/>
        </w:rPr>
        <w:t>Review of Psychology</w:t>
      </w:r>
      <w:r w:rsidR="0091579E" w:rsidRPr="00B55B1D">
        <w:rPr>
          <w:rFonts w:ascii="Times New Roman" w:hAnsi="Times New Roman"/>
          <w:lang w:val="en-GB"/>
        </w:rPr>
        <w:t xml:space="preserve"> 57: 375-400.</w:t>
      </w:r>
      <w:proofErr w:type="gramEnd"/>
    </w:p>
    <w:p w:rsidR="00067A63" w:rsidRPr="00B55B1D" w:rsidRDefault="008C7900" w:rsidP="00067A63">
      <w:pPr>
        <w:rPr>
          <w:rFonts w:ascii="Times New Roman" w:hAnsi="Times New Roman"/>
          <w:lang w:val="en-GB"/>
        </w:rPr>
      </w:pPr>
      <w:proofErr w:type="gramStart"/>
      <w:r w:rsidRPr="00B55B1D">
        <w:rPr>
          <w:rFonts w:ascii="Times New Roman" w:hAnsi="Times New Roman"/>
          <w:lang w:val="en-GB"/>
        </w:rPr>
        <w:t xml:space="preserve">VAIPO </w:t>
      </w:r>
      <w:r w:rsidR="00D7534E" w:rsidRPr="00B55B1D">
        <w:rPr>
          <w:rFonts w:ascii="Times New Roman" w:hAnsi="Times New Roman"/>
          <w:lang w:val="en-GB"/>
        </w:rPr>
        <w:t>(</w:t>
      </w:r>
      <w:r w:rsidRPr="00B55B1D">
        <w:rPr>
          <w:rFonts w:ascii="Times New Roman" w:hAnsi="Times New Roman"/>
          <w:lang w:val="en-GB"/>
        </w:rPr>
        <w:t>1999</w:t>
      </w:r>
      <w:r w:rsidR="00D7534E" w:rsidRPr="00B55B1D">
        <w:rPr>
          <w:rFonts w:ascii="Times New Roman" w:hAnsi="Times New Roman"/>
          <w:lang w:val="en-GB"/>
        </w:rPr>
        <w:t>)</w:t>
      </w:r>
      <w:r w:rsidR="00067A63" w:rsidRPr="00B55B1D">
        <w:rPr>
          <w:rFonts w:ascii="Times New Roman" w:hAnsi="Times New Roman"/>
          <w:lang w:val="en-GB"/>
        </w:rPr>
        <w:t xml:space="preserve"> </w:t>
      </w:r>
      <w:r w:rsidR="0015213D" w:rsidRPr="00B55B1D">
        <w:rPr>
          <w:rFonts w:ascii="Times New Roman" w:hAnsi="Times New Roman"/>
          <w:lang w:val="en-GB"/>
        </w:rPr>
        <w:t>‘</w:t>
      </w:r>
      <w:proofErr w:type="spellStart"/>
      <w:r w:rsidR="00067A63" w:rsidRPr="00B55B1D">
        <w:rPr>
          <w:rFonts w:ascii="Times New Roman" w:hAnsi="Times New Roman"/>
          <w:lang w:val="en-GB"/>
        </w:rPr>
        <w:t>Identificación</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Necesidades</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Espaciales</w:t>
      </w:r>
      <w:proofErr w:type="spellEnd"/>
      <w:r w:rsidR="00067A63" w:rsidRPr="00B55B1D">
        <w:rPr>
          <w:rFonts w:ascii="Times New Roman" w:hAnsi="Times New Roman"/>
          <w:lang w:val="en-GB"/>
        </w:rPr>
        <w:t xml:space="preserve"> TCO </w:t>
      </w:r>
      <w:proofErr w:type="spellStart"/>
      <w:r w:rsidR="00067A63" w:rsidRPr="00B55B1D">
        <w:rPr>
          <w:rFonts w:ascii="Times New Roman" w:hAnsi="Times New Roman"/>
          <w:lang w:val="en-GB"/>
        </w:rPr>
        <w:t>Guaraya</w:t>
      </w:r>
      <w:proofErr w:type="spellEnd"/>
      <w:r w:rsidR="0015213D" w:rsidRPr="00B55B1D">
        <w:rPr>
          <w:rFonts w:ascii="Times New Roman" w:hAnsi="Times New Roman"/>
          <w:lang w:val="en-GB"/>
        </w:rPr>
        <w:t xml:space="preserve"> (Identification of </w:t>
      </w:r>
      <w:proofErr w:type="spellStart"/>
      <w:r w:rsidR="0015213D" w:rsidRPr="00B55B1D">
        <w:rPr>
          <w:rFonts w:ascii="Times New Roman" w:hAnsi="Times New Roman"/>
          <w:lang w:val="en-GB"/>
        </w:rPr>
        <w:t>Spacial</w:t>
      </w:r>
      <w:proofErr w:type="spellEnd"/>
      <w:r w:rsidR="0015213D" w:rsidRPr="00B55B1D">
        <w:rPr>
          <w:rFonts w:ascii="Times New Roman" w:hAnsi="Times New Roman"/>
          <w:lang w:val="en-GB"/>
        </w:rPr>
        <w:t xml:space="preserve"> Needs, </w:t>
      </w:r>
      <w:proofErr w:type="spellStart"/>
      <w:r w:rsidR="0015213D" w:rsidRPr="00B55B1D">
        <w:rPr>
          <w:rFonts w:ascii="Times New Roman" w:hAnsi="Times New Roman"/>
          <w:lang w:val="en-GB"/>
        </w:rPr>
        <w:t>Guarayos</w:t>
      </w:r>
      <w:proofErr w:type="spellEnd"/>
      <w:r w:rsidR="0015213D" w:rsidRPr="00B55B1D">
        <w:rPr>
          <w:rFonts w:ascii="Times New Roman" w:hAnsi="Times New Roman"/>
          <w:lang w:val="en-GB"/>
        </w:rPr>
        <w:t xml:space="preserve"> TCO)’</w:t>
      </w:r>
      <w:r w:rsidR="00067A63" w:rsidRPr="00B55B1D">
        <w:rPr>
          <w:rFonts w:ascii="Times New Roman" w:hAnsi="Times New Roman"/>
          <w:lang w:val="en-GB"/>
        </w:rPr>
        <w:t>.</w:t>
      </w:r>
      <w:proofErr w:type="gramEnd"/>
      <w:r w:rsidR="00067A63" w:rsidRPr="00B55B1D">
        <w:rPr>
          <w:rFonts w:ascii="Times New Roman" w:hAnsi="Times New Roman"/>
          <w:lang w:val="en-GB"/>
        </w:rPr>
        <w:t xml:space="preserve"> La Paz, Bolivia: VAIPO. </w:t>
      </w:r>
    </w:p>
    <w:p w:rsidR="009055A9" w:rsidRPr="00B55B1D" w:rsidRDefault="0091579E" w:rsidP="00067A63">
      <w:pPr>
        <w:rPr>
          <w:rFonts w:ascii="Times New Roman" w:hAnsi="Times New Roman"/>
          <w:lang w:val="en-GB"/>
        </w:rPr>
      </w:pPr>
      <w:proofErr w:type="spellStart"/>
      <w:r w:rsidRPr="00B55B1D">
        <w:rPr>
          <w:rFonts w:ascii="Times New Roman" w:hAnsi="Times New Roman"/>
          <w:lang w:val="en-GB"/>
        </w:rPr>
        <w:t>Vallejos</w:t>
      </w:r>
      <w:proofErr w:type="spellEnd"/>
      <w:r w:rsidRPr="00B55B1D">
        <w:rPr>
          <w:rFonts w:ascii="Times New Roman" w:hAnsi="Times New Roman"/>
          <w:lang w:val="en-GB"/>
        </w:rPr>
        <w:t xml:space="preserve">, C. </w:t>
      </w:r>
      <w:r w:rsidR="00D7534E" w:rsidRPr="00B55B1D">
        <w:rPr>
          <w:rFonts w:ascii="Times New Roman" w:hAnsi="Times New Roman"/>
          <w:lang w:val="en-GB"/>
        </w:rPr>
        <w:t>(</w:t>
      </w:r>
      <w:r w:rsidRPr="00B55B1D">
        <w:rPr>
          <w:rFonts w:ascii="Times New Roman" w:hAnsi="Times New Roman"/>
          <w:lang w:val="en-GB"/>
        </w:rPr>
        <w:t>1998</w:t>
      </w:r>
      <w:r w:rsidR="00D7534E" w:rsidRPr="00B55B1D">
        <w:rPr>
          <w:rFonts w:ascii="Times New Roman" w:hAnsi="Times New Roman"/>
          <w:lang w:val="en-GB"/>
        </w:rPr>
        <w:t>)</w:t>
      </w:r>
      <w:r w:rsidRPr="00B55B1D">
        <w:rPr>
          <w:rFonts w:ascii="Times New Roman" w:hAnsi="Times New Roman"/>
          <w:lang w:val="en-GB"/>
        </w:rPr>
        <w:t xml:space="preserve"> </w:t>
      </w:r>
      <w:r w:rsidR="0015213D" w:rsidRPr="00B55B1D">
        <w:rPr>
          <w:rFonts w:ascii="Times New Roman" w:hAnsi="Times New Roman"/>
          <w:lang w:val="en-GB"/>
        </w:rPr>
        <w:t>‘</w:t>
      </w:r>
      <w:proofErr w:type="spellStart"/>
      <w:r w:rsidRPr="00B55B1D">
        <w:rPr>
          <w:rFonts w:ascii="Times New Roman" w:hAnsi="Times New Roman"/>
          <w:lang w:val="en-GB"/>
        </w:rPr>
        <w:t>Ascensión</w:t>
      </w:r>
      <w:proofErr w:type="spellEnd"/>
      <w:r w:rsidRPr="00B55B1D">
        <w:rPr>
          <w:rFonts w:ascii="Times New Roman" w:hAnsi="Times New Roman"/>
          <w:lang w:val="en-GB"/>
        </w:rPr>
        <w:t xml:space="preserve"> de </w:t>
      </w:r>
      <w:proofErr w:type="spellStart"/>
      <w:r w:rsidRPr="00B55B1D">
        <w:rPr>
          <w:rFonts w:ascii="Times New Roman" w:hAnsi="Times New Roman"/>
          <w:lang w:val="en-GB"/>
        </w:rPr>
        <w:t>Guarayos</w:t>
      </w:r>
      <w:proofErr w:type="spellEnd"/>
      <w:r w:rsidRPr="00B55B1D">
        <w:rPr>
          <w:rFonts w:ascii="Times New Roman" w:hAnsi="Times New Roman"/>
          <w:lang w:val="en-GB"/>
        </w:rPr>
        <w:t xml:space="preserve">: </w:t>
      </w:r>
      <w:proofErr w:type="spellStart"/>
      <w:r w:rsidRPr="00B55B1D">
        <w:rPr>
          <w:rFonts w:ascii="Times New Roman" w:hAnsi="Times New Roman"/>
          <w:lang w:val="en-GB"/>
        </w:rPr>
        <w:t>indígenas</w:t>
      </w:r>
      <w:proofErr w:type="spellEnd"/>
      <w:r w:rsidRPr="00B55B1D">
        <w:rPr>
          <w:rFonts w:ascii="Times New Roman" w:hAnsi="Times New Roman"/>
          <w:lang w:val="en-GB"/>
        </w:rPr>
        <w:t xml:space="preserve"> y </w:t>
      </w:r>
      <w:proofErr w:type="spellStart"/>
      <w:r w:rsidRPr="00B55B1D">
        <w:rPr>
          <w:rFonts w:ascii="Times New Roman" w:hAnsi="Times New Roman"/>
          <w:lang w:val="en-GB"/>
        </w:rPr>
        <w:t>madereros</w:t>
      </w:r>
      <w:proofErr w:type="spellEnd"/>
      <w:r w:rsidR="0015213D" w:rsidRPr="00B55B1D">
        <w:rPr>
          <w:rFonts w:ascii="Times New Roman" w:hAnsi="Times New Roman"/>
          <w:lang w:val="en-GB"/>
        </w:rPr>
        <w:t>’ (</w:t>
      </w:r>
      <w:proofErr w:type="spellStart"/>
      <w:r w:rsidR="0015213D" w:rsidRPr="00B55B1D">
        <w:rPr>
          <w:rFonts w:ascii="Times New Roman" w:hAnsi="Times New Roman"/>
          <w:lang w:val="en-GB"/>
        </w:rPr>
        <w:t>Guarayos</w:t>
      </w:r>
      <w:proofErr w:type="spellEnd"/>
      <w:r w:rsidR="0015213D" w:rsidRPr="00B55B1D">
        <w:rPr>
          <w:rFonts w:ascii="Times New Roman" w:hAnsi="Times New Roman"/>
          <w:lang w:val="en-GB"/>
        </w:rPr>
        <w:t xml:space="preserve"> Ascension: indigenous and loggers), in</w:t>
      </w:r>
      <w:r w:rsidRPr="00B55B1D">
        <w:rPr>
          <w:rFonts w:ascii="Times New Roman" w:hAnsi="Times New Roman"/>
          <w:lang w:val="en-GB"/>
        </w:rPr>
        <w:t xml:space="preserve"> </w:t>
      </w:r>
      <w:r w:rsidR="0015213D" w:rsidRPr="00B55B1D">
        <w:rPr>
          <w:rFonts w:ascii="Times New Roman" w:hAnsi="Times New Roman"/>
          <w:lang w:val="en-GB"/>
        </w:rPr>
        <w:t xml:space="preserve">P. Pacheco and D. </w:t>
      </w:r>
      <w:proofErr w:type="spellStart"/>
      <w:r w:rsidR="0015213D" w:rsidRPr="00B55B1D">
        <w:rPr>
          <w:rFonts w:ascii="Times New Roman" w:hAnsi="Times New Roman"/>
          <w:lang w:val="en-GB"/>
        </w:rPr>
        <w:t>Kaimowitz</w:t>
      </w:r>
      <w:proofErr w:type="spellEnd"/>
      <w:r w:rsidR="0015213D" w:rsidRPr="00B55B1D">
        <w:rPr>
          <w:rFonts w:ascii="Times New Roman" w:hAnsi="Times New Roman"/>
          <w:lang w:val="en-GB"/>
        </w:rPr>
        <w:t xml:space="preserve"> (</w:t>
      </w:r>
      <w:proofErr w:type="spellStart"/>
      <w:r w:rsidR="0015213D" w:rsidRPr="00B55B1D">
        <w:rPr>
          <w:rFonts w:ascii="Times New Roman" w:hAnsi="Times New Roman"/>
          <w:lang w:val="en-GB"/>
        </w:rPr>
        <w:t>eds</w:t>
      </w:r>
      <w:proofErr w:type="spellEnd"/>
      <w:r w:rsidR="0015213D" w:rsidRPr="00B55B1D">
        <w:rPr>
          <w:rFonts w:ascii="Times New Roman" w:hAnsi="Times New Roman"/>
          <w:lang w:val="en-GB"/>
        </w:rPr>
        <w:t xml:space="preserve">) </w:t>
      </w:r>
      <w:proofErr w:type="spellStart"/>
      <w:r w:rsidRPr="00B55B1D">
        <w:rPr>
          <w:rFonts w:ascii="Times New Roman" w:hAnsi="Times New Roman"/>
          <w:i/>
          <w:lang w:val="en-GB"/>
        </w:rPr>
        <w:t>Municipios</w:t>
      </w:r>
      <w:proofErr w:type="spellEnd"/>
      <w:r w:rsidRPr="00B55B1D">
        <w:rPr>
          <w:rFonts w:ascii="Times New Roman" w:hAnsi="Times New Roman"/>
          <w:i/>
          <w:lang w:val="en-GB"/>
        </w:rPr>
        <w:t xml:space="preserve"> y </w:t>
      </w:r>
      <w:proofErr w:type="spellStart"/>
      <w:r w:rsidRPr="00B55B1D">
        <w:rPr>
          <w:rFonts w:ascii="Times New Roman" w:hAnsi="Times New Roman"/>
          <w:i/>
          <w:lang w:val="en-GB"/>
        </w:rPr>
        <w:t>Gestión</w:t>
      </w:r>
      <w:proofErr w:type="spellEnd"/>
      <w:r w:rsidRPr="00B55B1D">
        <w:rPr>
          <w:rFonts w:ascii="Times New Roman" w:hAnsi="Times New Roman"/>
          <w:i/>
          <w:lang w:val="en-GB"/>
        </w:rPr>
        <w:t xml:space="preserve"> </w:t>
      </w:r>
      <w:proofErr w:type="spellStart"/>
      <w:r w:rsidRPr="00B55B1D">
        <w:rPr>
          <w:rFonts w:ascii="Times New Roman" w:hAnsi="Times New Roman"/>
          <w:i/>
          <w:lang w:val="en-GB"/>
        </w:rPr>
        <w:t>Forestal</w:t>
      </w:r>
      <w:proofErr w:type="spellEnd"/>
      <w:r w:rsidRPr="00B55B1D">
        <w:rPr>
          <w:rFonts w:ascii="Times New Roman" w:hAnsi="Times New Roman"/>
          <w:i/>
          <w:lang w:val="en-GB"/>
        </w:rPr>
        <w:t xml:space="preserve"> en el </w:t>
      </w:r>
      <w:proofErr w:type="spellStart"/>
      <w:r w:rsidRPr="00B55B1D">
        <w:rPr>
          <w:rFonts w:ascii="Times New Roman" w:hAnsi="Times New Roman"/>
          <w:i/>
          <w:lang w:val="en-GB"/>
        </w:rPr>
        <w:t>Trópico</w:t>
      </w:r>
      <w:proofErr w:type="spellEnd"/>
      <w:r w:rsidRPr="00B55B1D">
        <w:rPr>
          <w:rFonts w:ascii="Times New Roman" w:hAnsi="Times New Roman"/>
          <w:i/>
          <w:lang w:val="en-GB"/>
        </w:rPr>
        <w:t xml:space="preserve"> Boliviano</w:t>
      </w:r>
      <w:r w:rsidR="0015213D" w:rsidRPr="00B55B1D">
        <w:rPr>
          <w:rFonts w:ascii="Times New Roman" w:hAnsi="Times New Roman"/>
          <w:lang w:val="en-GB"/>
        </w:rPr>
        <w:t xml:space="preserve"> (</w:t>
      </w:r>
      <w:r w:rsidR="0015213D" w:rsidRPr="00B55B1D">
        <w:rPr>
          <w:rFonts w:ascii="Times New Roman" w:hAnsi="Times New Roman"/>
          <w:i/>
          <w:lang w:val="en-GB"/>
        </w:rPr>
        <w:t xml:space="preserve">Municipalities </w:t>
      </w:r>
      <w:r w:rsidR="001B7287" w:rsidRPr="00B55B1D">
        <w:rPr>
          <w:rFonts w:ascii="Times New Roman" w:hAnsi="Times New Roman"/>
          <w:i/>
          <w:lang w:val="en-GB"/>
        </w:rPr>
        <w:t>and</w:t>
      </w:r>
      <w:r w:rsidR="0015213D" w:rsidRPr="00B55B1D">
        <w:rPr>
          <w:rFonts w:ascii="Times New Roman" w:hAnsi="Times New Roman"/>
          <w:i/>
          <w:lang w:val="en-GB"/>
        </w:rPr>
        <w:t xml:space="preserve"> Forest </w:t>
      </w:r>
      <w:r w:rsidR="001B7287" w:rsidRPr="00B55B1D">
        <w:rPr>
          <w:rFonts w:ascii="Times New Roman" w:hAnsi="Times New Roman"/>
          <w:i/>
          <w:lang w:val="en-GB"/>
        </w:rPr>
        <w:t>Management</w:t>
      </w:r>
      <w:r w:rsidR="0015213D" w:rsidRPr="00B55B1D">
        <w:rPr>
          <w:rFonts w:ascii="Times New Roman" w:hAnsi="Times New Roman"/>
          <w:i/>
          <w:lang w:val="en-GB"/>
        </w:rPr>
        <w:t xml:space="preserve"> in the Bolivian Tropics</w:t>
      </w:r>
      <w:r w:rsidR="0015213D" w:rsidRPr="00B55B1D">
        <w:rPr>
          <w:rFonts w:ascii="Times New Roman" w:hAnsi="Times New Roman"/>
          <w:lang w:val="en-GB"/>
        </w:rPr>
        <w:t>).</w:t>
      </w:r>
      <w:r w:rsidRPr="00B55B1D">
        <w:rPr>
          <w:rFonts w:ascii="Times New Roman" w:hAnsi="Times New Roman"/>
          <w:lang w:val="en-GB"/>
        </w:rPr>
        <w:t xml:space="preserve"> </w:t>
      </w:r>
      <w:r w:rsidR="009055A9" w:rsidRPr="00B55B1D">
        <w:rPr>
          <w:rFonts w:ascii="Times New Roman" w:hAnsi="Times New Roman"/>
          <w:lang w:val="en-GB"/>
        </w:rPr>
        <w:t>La Paz, Bolivia</w:t>
      </w:r>
      <w:r w:rsidR="001B7287" w:rsidRPr="00B55B1D">
        <w:rPr>
          <w:rFonts w:ascii="Times New Roman" w:hAnsi="Times New Roman"/>
          <w:lang w:val="en-GB"/>
        </w:rPr>
        <w:t>: CIFOR, CEDLA and TIERRA.</w:t>
      </w:r>
    </w:p>
    <w:p w:rsidR="00067A63" w:rsidRPr="00B55B1D" w:rsidRDefault="00067A63" w:rsidP="00067A63">
      <w:pPr>
        <w:rPr>
          <w:rFonts w:ascii="Times New Roman" w:hAnsi="Times New Roman"/>
          <w:lang w:val="en-GB"/>
        </w:rPr>
      </w:pPr>
      <w:proofErr w:type="spellStart"/>
      <w:proofErr w:type="gramStart"/>
      <w:r w:rsidRPr="00B55B1D">
        <w:rPr>
          <w:rFonts w:ascii="Times New Roman" w:hAnsi="Times New Roman"/>
          <w:lang w:val="en-GB"/>
        </w:rPr>
        <w:t>Vandergeest</w:t>
      </w:r>
      <w:proofErr w:type="spellEnd"/>
      <w:r w:rsidRPr="00B55B1D">
        <w:rPr>
          <w:rFonts w:ascii="Times New Roman" w:hAnsi="Times New Roman"/>
          <w:lang w:val="en-GB"/>
        </w:rPr>
        <w:t xml:space="preserve">, P. and </w:t>
      </w:r>
      <w:r w:rsidR="00D700B3" w:rsidRPr="00B55B1D">
        <w:rPr>
          <w:rFonts w:ascii="Times New Roman" w:hAnsi="Times New Roman"/>
          <w:lang w:val="en-GB"/>
        </w:rPr>
        <w:t xml:space="preserve">N. </w:t>
      </w:r>
      <w:proofErr w:type="spellStart"/>
      <w:r w:rsidRPr="00B55B1D">
        <w:rPr>
          <w:rFonts w:ascii="Times New Roman" w:hAnsi="Times New Roman"/>
          <w:lang w:val="en-GB"/>
        </w:rPr>
        <w:t>Peluso</w:t>
      </w:r>
      <w:proofErr w:type="spellEnd"/>
      <w:r w:rsidR="00D700B3" w:rsidRPr="00B55B1D">
        <w:rPr>
          <w:rFonts w:ascii="Times New Roman" w:hAnsi="Times New Roman"/>
          <w:lang w:val="en-GB"/>
        </w:rPr>
        <w:t xml:space="preserve"> </w:t>
      </w:r>
      <w:r w:rsidR="00D7534E" w:rsidRPr="00B55B1D">
        <w:rPr>
          <w:rFonts w:ascii="Times New Roman" w:hAnsi="Times New Roman"/>
          <w:lang w:val="en-GB"/>
        </w:rPr>
        <w:t>(</w:t>
      </w:r>
      <w:r w:rsidRPr="00B55B1D">
        <w:rPr>
          <w:rFonts w:ascii="Times New Roman" w:hAnsi="Times New Roman"/>
          <w:lang w:val="en-GB"/>
        </w:rPr>
        <w:t>1995</w:t>
      </w:r>
      <w:r w:rsidR="00D7534E" w:rsidRPr="00B55B1D">
        <w:rPr>
          <w:rFonts w:ascii="Times New Roman" w:hAnsi="Times New Roman"/>
          <w:lang w:val="en-GB"/>
        </w:rPr>
        <w:t>)</w:t>
      </w:r>
      <w:r w:rsidRPr="00B55B1D">
        <w:rPr>
          <w:rFonts w:ascii="Times New Roman" w:hAnsi="Times New Roman"/>
          <w:lang w:val="en-GB"/>
        </w:rPr>
        <w:t xml:space="preserve"> </w:t>
      </w:r>
      <w:r w:rsidR="001B7287" w:rsidRPr="00B55B1D">
        <w:rPr>
          <w:rFonts w:ascii="Times New Roman" w:hAnsi="Times New Roman"/>
          <w:lang w:val="en-GB"/>
        </w:rPr>
        <w:t>‘</w:t>
      </w:r>
      <w:proofErr w:type="spellStart"/>
      <w:r w:rsidRPr="00B55B1D">
        <w:rPr>
          <w:rFonts w:ascii="Times New Roman" w:hAnsi="Times New Roman"/>
          <w:lang w:val="en-GB"/>
        </w:rPr>
        <w:t>Territorialization</w:t>
      </w:r>
      <w:proofErr w:type="spellEnd"/>
      <w:r w:rsidRPr="00B55B1D">
        <w:rPr>
          <w:rFonts w:ascii="Times New Roman" w:hAnsi="Times New Roman"/>
          <w:lang w:val="en-GB"/>
        </w:rPr>
        <w:t xml:space="preserve"> and state power in Thailand,</w:t>
      </w:r>
      <w:r w:rsidR="001B7287" w:rsidRPr="00B55B1D">
        <w:rPr>
          <w:rFonts w:ascii="Times New Roman" w:hAnsi="Times New Roman"/>
          <w:lang w:val="en-GB"/>
        </w:rPr>
        <w:t xml:space="preserve">’ </w:t>
      </w:r>
      <w:r w:rsidRPr="00B55B1D">
        <w:rPr>
          <w:rFonts w:ascii="Times New Roman" w:hAnsi="Times New Roman"/>
          <w:i/>
          <w:lang w:val="en-GB"/>
        </w:rPr>
        <w:t>Theory and Society</w:t>
      </w:r>
      <w:r w:rsidR="001B7287" w:rsidRPr="00B55B1D">
        <w:rPr>
          <w:rFonts w:ascii="Times New Roman" w:hAnsi="Times New Roman"/>
          <w:i/>
          <w:lang w:val="en-GB"/>
        </w:rPr>
        <w:t xml:space="preserve"> </w:t>
      </w:r>
      <w:r w:rsidR="001B7287" w:rsidRPr="00B55B1D">
        <w:rPr>
          <w:rFonts w:ascii="Times New Roman" w:hAnsi="Times New Roman"/>
          <w:lang w:val="en-GB"/>
        </w:rPr>
        <w:t xml:space="preserve">24: </w:t>
      </w:r>
      <w:r w:rsidRPr="00B55B1D">
        <w:rPr>
          <w:rFonts w:ascii="Times New Roman" w:hAnsi="Times New Roman"/>
          <w:lang w:val="en-GB"/>
        </w:rPr>
        <w:t>385–426</w:t>
      </w:r>
      <w:r w:rsidR="00D700B3" w:rsidRPr="00B55B1D">
        <w:rPr>
          <w:rFonts w:ascii="Times New Roman" w:hAnsi="Times New Roman"/>
          <w:lang w:val="en-GB"/>
        </w:rPr>
        <w:t>.</w:t>
      </w:r>
      <w:proofErr w:type="gramEnd"/>
    </w:p>
    <w:p w:rsidR="00067A63" w:rsidRPr="00B55B1D" w:rsidRDefault="001B7287" w:rsidP="00067A63">
      <w:pPr>
        <w:widowControl w:val="0"/>
        <w:autoSpaceDE w:val="0"/>
        <w:autoSpaceDN w:val="0"/>
        <w:adjustRightInd w:val="0"/>
        <w:spacing w:after="0"/>
        <w:rPr>
          <w:rFonts w:ascii="Times New Roman" w:eastAsiaTheme="minorHAnsi" w:hAnsi="Times New Roman" w:cs="Frutiger-Light"/>
          <w:szCs w:val="18"/>
          <w:lang w:val="en-GB"/>
        </w:rPr>
      </w:pPr>
      <w:r w:rsidRPr="00B55B1D">
        <w:rPr>
          <w:rFonts w:ascii="Times New Roman" w:eastAsiaTheme="minorHAnsi" w:hAnsi="Times New Roman" w:cs="Frutiger-Light"/>
          <w:szCs w:val="18"/>
          <w:lang w:val="en-GB"/>
        </w:rPr>
        <w:t>Walker, H. A.</w:t>
      </w:r>
      <w:r w:rsidR="00D700B3" w:rsidRPr="00B55B1D">
        <w:rPr>
          <w:rFonts w:ascii="Times New Roman" w:eastAsiaTheme="minorHAnsi" w:hAnsi="Times New Roman" w:cs="Frutiger-Light"/>
          <w:szCs w:val="18"/>
          <w:lang w:val="en-GB"/>
        </w:rPr>
        <w:t xml:space="preserve"> and M. </w:t>
      </w:r>
      <w:proofErr w:type="spellStart"/>
      <w:r w:rsidR="00D700B3" w:rsidRPr="00B55B1D">
        <w:rPr>
          <w:rFonts w:ascii="Times New Roman" w:eastAsiaTheme="minorHAnsi" w:hAnsi="Times New Roman" w:cs="Frutiger-Light"/>
          <w:szCs w:val="18"/>
          <w:lang w:val="en-GB"/>
        </w:rPr>
        <w:t>Zelditch</w:t>
      </w:r>
      <w:proofErr w:type="spellEnd"/>
      <w:r w:rsidR="00D700B3" w:rsidRPr="00B55B1D">
        <w:rPr>
          <w:rFonts w:ascii="Times New Roman" w:eastAsiaTheme="minorHAnsi" w:hAnsi="Times New Roman" w:cs="Frutiger-Light"/>
          <w:szCs w:val="18"/>
          <w:lang w:val="en-GB"/>
        </w:rPr>
        <w:t>,</w:t>
      </w:r>
      <w:r w:rsidR="00067A63" w:rsidRPr="00B55B1D">
        <w:rPr>
          <w:rFonts w:ascii="Times New Roman" w:eastAsiaTheme="minorHAnsi" w:hAnsi="Times New Roman" w:cs="Frutiger-Light"/>
          <w:szCs w:val="18"/>
          <w:lang w:val="en-GB"/>
        </w:rPr>
        <w:t xml:space="preserve"> Jr. </w:t>
      </w:r>
      <w:r w:rsidR="00D7534E" w:rsidRPr="00B55B1D">
        <w:rPr>
          <w:rFonts w:ascii="Times New Roman" w:eastAsiaTheme="minorHAnsi" w:hAnsi="Times New Roman" w:cs="Frutiger-Light"/>
          <w:szCs w:val="18"/>
          <w:lang w:val="en-GB"/>
        </w:rPr>
        <w:t>(1993)</w:t>
      </w:r>
      <w:r w:rsidR="00067A63" w:rsidRPr="00B55B1D">
        <w:rPr>
          <w:rFonts w:ascii="Times New Roman" w:eastAsiaTheme="minorHAnsi" w:hAnsi="Times New Roman" w:cs="Frutiger-Light"/>
          <w:szCs w:val="18"/>
          <w:lang w:val="en-GB"/>
        </w:rPr>
        <w:t xml:space="preserve"> </w:t>
      </w:r>
      <w:r w:rsidRPr="00B55B1D">
        <w:rPr>
          <w:rFonts w:ascii="Times New Roman" w:eastAsiaTheme="minorHAnsi" w:hAnsi="Times New Roman" w:cs="Frutiger-Light"/>
          <w:szCs w:val="18"/>
          <w:lang w:val="en-GB"/>
        </w:rPr>
        <w:t>‘</w:t>
      </w:r>
      <w:r w:rsidR="00067A63" w:rsidRPr="00B55B1D">
        <w:rPr>
          <w:rFonts w:ascii="Times New Roman" w:eastAsiaTheme="minorHAnsi" w:hAnsi="Times New Roman" w:cs="Frutiger-Light"/>
          <w:szCs w:val="18"/>
          <w:lang w:val="en-GB"/>
        </w:rPr>
        <w:t>Power, legitimacy, and the stability of authority: A theoretical research program</w:t>
      </w:r>
      <w:r w:rsidRPr="00B55B1D">
        <w:rPr>
          <w:rFonts w:ascii="Times New Roman" w:eastAsiaTheme="minorHAnsi" w:hAnsi="Times New Roman" w:cs="Frutiger-Light"/>
          <w:szCs w:val="18"/>
          <w:lang w:val="en-GB"/>
        </w:rPr>
        <w:t xml:space="preserve">’, in J. Berger and M. </w:t>
      </w:r>
      <w:proofErr w:type="spellStart"/>
      <w:r w:rsidRPr="00B55B1D">
        <w:rPr>
          <w:rFonts w:ascii="Times New Roman" w:eastAsiaTheme="minorHAnsi" w:hAnsi="Times New Roman" w:cs="Frutiger-Light"/>
          <w:szCs w:val="18"/>
          <w:lang w:val="en-GB"/>
        </w:rPr>
        <w:t>Zelditch</w:t>
      </w:r>
      <w:proofErr w:type="spellEnd"/>
      <w:r w:rsidRPr="00B55B1D">
        <w:rPr>
          <w:rFonts w:ascii="Times New Roman" w:eastAsiaTheme="minorHAnsi" w:hAnsi="Times New Roman" w:cs="Frutiger-Light"/>
          <w:szCs w:val="18"/>
          <w:lang w:val="en-GB"/>
        </w:rPr>
        <w:t>, Jr. (</w:t>
      </w:r>
      <w:proofErr w:type="spellStart"/>
      <w:r w:rsidRPr="00B55B1D">
        <w:rPr>
          <w:rFonts w:ascii="Times New Roman" w:eastAsiaTheme="minorHAnsi" w:hAnsi="Times New Roman" w:cs="Frutiger-Light"/>
          <w:szCs w:val="18"/>
          <w:lang w:val="en-GB"/>
        </w:rPr>
        <w:t>eds</w:t>
      </w:r>
      <w:proofErr w:type="spellEnd"/>
      <w:r w:rsidR="00067A63" w:rsidRPr="00B55B1D">
        <w:rPr>
          <w:rFonts w:ascii="Times New Roman" w:eastAsiaTheme="minorHAnsi" w:hAnsi="Times New Roman" w:cs="Frutiger-Light"/>
          <w:szCs w:val="18"/>
          <w:lang w:val="en-GB"/>
        </w:rPr>
        <w:t xml:space="preserve">) </w:t>
      </w:r>
      <w:r w:rsidR="00067A63" w:rsidRPr="00B55B1D">
        <w:rPr>
          <w:rFonts w:ascii="Times New Roman" w:eastAsiaTheme="minorHAnsi" w:hAnsi="Times New Roman" w:cs="Frutiger-Light"/>
          <w:i/>
          <w:iCs/>
          <w:szCs w:val="18"/>
          <w:lang w:val="en-GB"/>
        </w:rPr>
        <w:t>Theoretical Research Programs: Studies in the Growth of Theory</w:t>
      </w:r>
      <w:r w:rsidRPr="00B55B1D">
        <w:rPr>
          <w:rFonts w:ascii="Times New Roman" w:eastAsiaTheme="minorHAnsi" w:hAnsi="Times New Roman" w:cs="Frutiger-Light"/>
          <w:szCs w:val="18"/>
          <w:lang w:val="en-GB"/>
        </w:rPr>
        <w:t>, pp. 364–81. Stanford</w:t>
      </w:r>
      <w:r w:rsidR="00067A63" w:rsidRPr="00B55B1D">
        <w:rPr>
          <w:rFonts w:ascii="Times New Roman" w:eastAsiaTheme="minorHAnsi" w:hAnsi="Times New Roman" w:cs="Frutiger-Light"/>
          <w:szCs w:val="18"/>
          <w:lang w:val="en-GB"/>
        </w:rPr>
        <w:t>: Stanford University Press.</w:t>
      </w:r>
    </w:p>
    <w:p w:rsidR="00067A63" w:rsidRPr="00B55B1D" w:rsidRDefault="00067A63" w:rsidP="00067A63">
      <w:pPr>
        <w:widowControl w:val="0"/>
        <w:autoSpaceDE w:val="0"/>
        <w:autoSpaceDN w:val="0"/>
        <w:adjustRightInd w:val="0"/>
        <w:spacing w:after="0"/>
        <w:rPr>
          <w:rFonts w:ascii="Times New Roman" w:eastAsiaTheme="minorHAnsi" w:hAnsi="Times New Roman" w:cs="Frutiger-Light"/>
          <w:szCs w:val="18"/>
          <w:lang w:val="en-GB"/>
        </w:rPr>
      </w:pPr>
    </w:p>
    <w:p w:rsidR="00067A63" w:rsidRPr="00B55B1D" w:rsidRDefault="008C7900" w:rsidP="00067A63">
      <w:pPr>
        <w:widowControl w:val="0"/>
        <w:autoSpaceDE w:val="0"/>
        <w:autoSpaceDN w:val="0"/>
        <w:adjustRightInd w:val="0"/>
        <w:rPr>
          <w:rFonts w:ascii="Times New Roman" w:hAnsi="Times New Roman"/>
          <w:lang w:val="en-GB"/>
        </w:rPr>
      </w:pPr>
      <w:r w:rsidRPr="00B55B1D">
        <w:rPr>
          <w:rFonts w:ascii="Times New Roman" w:hAnsi="Times New Roman"/>
          <w:lang w:val="en-GB"/>
        </w:rPr>
        <w:t xml:space="preserve">Weber, M. </w:t>
      </w:r>
      <w:r w:rsidR="00D7534E" w:rsidRPr="00B55B1D">
        <w:rPr>
          <w:rFonts w:ascii="Times New Roman" w:hAnsi="Times New Roman"/>
          <w:lang w:val="en-GB"/>
        </w:rPr>
        <w:t>(</w:t>
      </w:r>
      <w:r w:rsidRPr="00B55B1D">
        <w:rPr>
          <w:rFonts w:ascii="Times New Roman" w:hAnsi="Times New Roman"/>
          <w:lang w:val="en-GB"/>
        </w:rPr>
        <w:t>1968</w:t>
      </w:r>
      <w:r w:rsidR="00D7534E" w:rsidRPr="00B55B1D">
        <w:rPr>
          <w:rFonts w:ascii="Times New Roman" w:hAnsi="Times New Roman"/>
          <w:lang w:val="en-GB"/>
        </w:rPr>
        <w:t>)</w:t>
      </w:r>
      <w:r w:rsidR="00067A63" w:rsidRPr="00B55B1D">
        <w:rPr>
          <w:rFonts w:ascii="Times New Roman" w:hAnsi="Times New Roman"/>
          <w:lang w:val="en-GB"/>
        </w:rPr>
        <w:t xml:space="preserve"> </w:t>
      </w:r>
      <w:r w:rsidR="00067A63" w:rsidRPr="00B55B1D">
        <w:rPr>
          <w:rFonts w:ascii="Times New Roman" w:hAnsi="Times New Roman"/>
          <w:i/>
          <w:lang w:val="en-GB"/>
        </w:rPr>
        <w:t>Economy and Society: Outline of an Interpretive Sociology</w:t>
      </w:r>
      <w:r w:rsidR="00067A63" w:rsidRPr="00B55B1D">
        <w:rPr>
          <w:rFonts w:ascii="Times New Roman" w:hAnsi="Times New Roman"/>
          <w:lang w:val="en-GB"/>
        </w:rPr>
        <w:t>. Berkeley: University of California Press.</w:t>
      </w:r>
    </w:p>
    <w:p w:rsidR="00067A63" w:rsidRPr="00B55B1D" w:rsidRDefault="008C7900" w:rsidP="00067A63">
      <w:pPr>
        <w:spacing w:after="0"/>
        <w:rPr>
          <w:rFonts w:ascii="Times New Roman" w:hAnsi="Times New Roman" w:cs="Helvetica"/>
          <w:lang w:val="en-GB"/>
        </w:rPr>
      </w:pPr>
      <w:proofErr w:type="gramStart"/>
      <w:r w:rsidRPr="00B55B1D">
        <w:rPr>
          <w:rFonts w:ascii="Times New Roman" w:hAnsi="Times New Roman" w:cs="Helvetica"/>
          <w:lang w:val="en-GB"/>
        </w:rPr>
        <w:t xml:space="preserve">Webster, M. </w:t>
      </w:r>
      <w:r w:rsidR="00D7534E" w:rsidRPr="00B55B1D">
        <w:rPr>
          <w:rFonts w:ascii="Times New Roman" w:hAnsi="Times New Roman" w:cs="Helvetica"/>
          <w:lang w:val="en-GB"/>
        </w:rPr>
        <w:t>(</w:t>
      </w:r>
      <w:r w:rsidRPr="00B55B1D">
        <w:rPr>
          <w:rFonts w:ascii="Times New Roman" w:hAnsi="Times New Roman" w:cs="Helvetica"/>
          <w:lang w:val="en-GB"/>
        </w:rPr>
        <w:t>1967</w:t>
      </w:r>
      <w:r w:rsidR="00D7534E" w:rsidRPr="00B55B1D">
        <w:rPr>
          <w:rFonts w:ascii="Times New Roman" w:hAnsi="Times New Roman" w:cs="Helvetica"/>
          <w:lang w:val="en-GB"/>
        </w:rPr>
        <w:t>)</w:t>
      </w:r>
      <w:r w:rsidR="00067A63" w:rsidRPr="00B55B1D">
        <w:rPr>
          <w:rFonts w:ascii="Times New Roman" w:hAnsi="Times New Roman" w:cs="Helvetica"/>
          <w:lang w:val="en-GB"/>
        </w:rPr>
        <w:t xml:space="preserve"> </w:t>
      </w:r>
      <w:r w:rsidR="00067A63" w:rsidRPr="00B55B1D">
        <w:rPr>
          <w:rFonts w:ascii="Times New Roman" w:hAnsi="Times New Roman" w:cs="Helvetica"/>
          <w:i/>
          <w:lang w:val="en-GB"/>
        </w:rPr>
        <w:t>Webster’s Seventh New Collegiate Dictionary</w:t>
      </w:r>
      <w:r w:rsidR="00067A63" w:rsidRPr="00B55B1D">
        <w:rPr>
          <w:rFonts w:ascii="Times New Roman" w:hAnsi="Times New Roman" w:cs="Helvetica"/>
          <w:lang w:val="en-GB"/>
        </w:rPr>
        <w:t>.</w:t>
      </w:r>
      <w:proofErr w:type="gramEnd"/>
      <w:r w:rsidR="00067A63" w:rsidRPr="00B55B1D">
        <w:rPr>
          <w:rFonts w:ascii="Times New Roman" w:hAnsi="Times New Roman" w:cs="Helvetica"/>
          <w:lang w:val="en-GB"/>
        </w:rPr>
        <w:t xml:space="preserve"> Springfield, Massachusetts: G&amp;C Merriam Company. </w:t>
      </w:r>
    </w:p>
    <w:p w:rsidR="00067A63" w:rsidRPr="00B55B1D" w:rsidRDefault="00067A63" w:rsidP="00067A63">
      <w:pPr>
        <w:spacing w:after="0"/>
        <w:rPr>
          <w:rFonts w:ascii="Times New Roman" w:hAnsi="Times New Roman" w:cs="Helvetica"/>
          <w:lang w:val="en-GB"/>
        </w:rPr>
      </w:pPr>
    </w:p>
    <w:p w:rsidR="00067A63" w:rsidRPr="00B55B1D" w:rsidRDefault="008C7900" w:rsidP="00067A63">
      <w:pPr>
        <w:spacing w:after="0"/>
        <w:rPr>
          <w:rFonts w:ascii="Times New Roman" w:hAnsi="Times New Roman"/>
          <w:lang w:val="en-GB"/>
        </w:rPr>
      </w:pPr>
      <w:r w:rsidRPr="00B55B1D">
        <w:rPr>
          <w:rFonts w:ascii="Times New Roman" w:hAnsi="Times New Roman"/>
          <w:lang w:val="en-GB"/>
        </w:rPr>
        <w:t xml:space="preserve">Wiggins, A. </w:t>
      </w:r>
      <w:r w:rsidR="00D7534E" w:rsidRPr="00B55B1D">
        <w:rPr>
          <w:rFonts w:ascii="Times New Roman" w:hAnsi="Times New Roman"/>
          <w:lang w:val="en-GB"/>
        </w:rPr>
        <w:t>(</w:t>
      </w:r>
      <w:r w:rsidRPr="00B55B1D">
        <w:rPr>
          <w:rFonts w:ascii="Times New Roman" w:hAnsi="Times New Roman"/>
          <w:lang w:val="en-GB"/>
        </w:rPr>
        <w:t>2002</w:t>
      </w:r>
      <w:r w:rsidR="00D7534E" w:rsidRPr="00B55B1D">
        <w:rPr>
          <w:rFonts w:ascii="Times New Roman" w:hAnsi="Times New Roman"/>
          <w:lang w:val="en-GB"/>
        </w:rPr>
        <w:t>)</w:t>
      </w:r>
      <w:r w:rsidRPr="00B55B1D">
        <w:rPr>
          <w:rFonts w:ascii="Times New Roman" w:hAnsi="Times New Roman"/>
          <w:lang w:val="en-GB"/>
        </w:rPr>
        <w:t xml:space="preserve"> </w:t>
      </w:r>
      <w:r w:rsidR="001B7287" w:rsidRPr="00B55B1D">
        <w:rPr>
          <w:rFonts w:ascii="Times New Roman" w:hAnsi="Times New Roman"/>
          <w:lang w:val="en-GB"/>
        </w:rPr>
        <w:t>‘</w:t>
      </w:r>
      <w:r w:rsidR="00067A63" w:rsidRPr="00B55B1D">
        <w:rPr>
          <w:rFonts w:ascii="Times New Roman" w:hAnsi="Times New Roman"/>
          <w:lang w:val="en-GB"/>
        </w:rPr>
        <w:t xml:space="preserve">El </w:t>
      </w:r>
      <w:proofErr w:type="spellStart"/>
      <w:r w:rsidR="00067A63" w:rsidRPr="00B55B1D">
        <w:rPr>
          <w:rFonts w:ascii="Times New Roman" w:hAnsi="Times New Roman"/>
          <w:lang w:val="en-GB"/>
        </w:rPr>
        <w:t>caso</w:t>
      </w:r>
      <w:proofErr w:type="spellEnd"/>
      <w:r w:rsidR="00067A63" w:rsidRPr="00B55B1D">
        <w:rPr>
          <w:rFonts w:ascii="Times New Roman" w:hAnsi="Times New Roman"/>
          <w:lang w:val="en-GB"/>
        </w:rPr>
        <w:t xml:space="preserve"> de </w:t>
      </w:r>
      <w:proofErr w:type="spellStart"/>
      <w:r w:rsidR="00067A63" w:rsidRPr="00B55B1D">
        <w:rPr>
          <w:rFonts w:ascii="Times New Roman" w:hAnsi="Times New Roman"/>
          <w:lang w:val="en-GB"/>
        </w:rPr>
        <w:t>Awas</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Tingni</w:t>
      </w:r>
      <w:proofErr w:type="spellEnd"/>
      <w:r w:rsidR="00067A63" w:rsidRPr="00B55B1D">
        <w:rPr>
          <w:rFonts w:ascii="Times New Roman" w:hAnsi="Times New Roman"/>
          <w:lang w:val="en-GB"/>
        </w:rPr>
        <w:t xml:space="preserve">: O el </w:t>
      </w:r>
      <w:proofErr w:type="spellStart"/>
      <w:r w:rsidR="00067A63" w:rsidRPr="00B55B1D">
        <w:rPr>
          <w:rFonts w:ascii="Times New Roman" w:hAnsi="Times New Roman"/>
          <w:lang w:val="en-GB"/>
        </w:rPr>
        <w:t>futuro</w:t>
      </w:r>
      <w:proofErr w:type="spellEnd"/>
      <w:r w:rsidR="00067A63" w:rsidRPr="00B55B1D">
        <w:rPr>
          <w:rFonts w:ascii="Times New Roman" w:hAnsi="Times New Roman"/>
          <w:lang w:val="en-GB"/>
        </w:rPr>
        <w:t xml:space="preserve"> de los </w:t>
      </w:r>
      <w:proofErr w:type="spellStart"/>
      <w:r w:rsidR="00067A63" w:rsidRPr="00B55B1D">
        <w:rPr>
          <w:rFonts w:ascii="Times New Roman" w:hAnsi="Times New Roman"/>
          <w:lang w:val="en-GB"/>
        </w:rPr>
        <w:t>derechos</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territoriales</w:t>
      </w:r>
      <w:proofErr w:type="spellEnd"/>
      <w:r w:rsidR="00067A63" w:rsidRPr="00B55B1D">
        <w:rPr>
          <w:rFonts w:ascii="Times New Roman" w:hAnsi="Times New Roman"/>
          <w:lang w:val="en-GB"/>
        </w:rPr>
        <w:t xml:space="preserve"> de los pueblos </w:t>
      </w:r>
      <w:proofErr w:type="spellStart"/>
      <w:r w:rsidR="00067A63" w:rsidRPr="00B55B1D">
        <w:rPr>
          <w:rFonts w:ascii="Times New Roman" w:hAnsi="Times New Roman"/>
          <w:lang w:val="en-GB"/>
        </w:rPr>
        <w:t>in</w:t>
      </w:r>
      <w:r w:rsidRPr="00B55B1D">
        <w:rPr>
          <w:rFonts w:ascii="Times New Roman" w:hAnsi="Times New Roman"/>
          <w:lang w:val="en-GB"/>
        </w:rPr>
        <w:t>dígenas</w:t>
      </w:r>
      <w:proofErr w:type="spellEnd"/>
      <w:r w:rsidRPr="00B55B1D">
        <w:rPr>
          <w:rFonts w:ascii="Times New Roman" w:hAnsi="Times New Roman"/>
          <w:lang w:val="en-GB"/>
        </w:rPr>
        <w:t xml:space="preserve"> del Caribe </w:t>
      </w:r>
      <w:proofErr w:type="spellStart"/>
      <w:r w:rsidRPr="00B55B1D">
        <w:rPr>
          <w:rFonts w:ascii="Times New Roman" w:hAnsi="Times New Roman"/>
          <w:lang w:val="en-GB"/>
        </w:rPr>
        <w:t>nicaraguense</w:t>
      </w:r>
      <w:proofErr w:type="spellEnd"/>
      <w:r w:rsidR="001B7287" w:rsidRPr="00B55B1D">
        <w:rPr>
          <w:rFonts w:ascii="Times New Roman" w:hAnsi="Times New Roman"/>
          <w:lang w:val="en-GB"/>
        </w:rPr>
        <w:t xml:space="preserve">’ (The case of </w:t>
      </w:r>
      <w:proofErr w:type="spellStart"/>
      <w:r w:rsidR="001B7287" w:rsidRPr="00B55B1D">
        <w:rPr>
          <w:rFonts w:ascii="Times New Roman" w:hAnsi="Times New Roman"/>
          <w:lang w:val="en-GB"/>
        </w:rPr>
        <w:t>Awas</w:t>
      </w:r>
      <w:proofErr w:type="spellEnd"/>
      <w:r w:rsidR="001B7287" w:rsidRPr="00B55B1D">
        <w:rPr>
          <w:rFonts w:ascii="Times New Roman" w:hAnsi="Times New Roman"/>
          <w:lang w:val="en-GB"/>
        </w:rPr>
        <w:t xml:space="preserve"> </w:t>
      </w:r>
      <w:proofErr w:type="spellStart"/>
      <w:r w:rsidR="001B7287" w:rsidRPr="00B55B1D">
        <w:rPr>
          <w:rFonts w:ascii="Times New Roman" w:hAnsi="Times New Roman"/>
          <w:lang w:val="en-GB"/>
        </w:rPr>
        <w:t>Tingni</w:t>
      </w:r>
      <w:proofErr w:type="spellEnd"/>
      <w:r w:rsidR="001B7287" w:rsidRPr="00B55B1D">
        <w:rPr>
          <w:rFonts w:ascii="Times New Roman" w:hAnsi="Times New Roman"/>
          <w:lang w:val="en-GB"/>
        </w:rPr>
        <w:t>: or the future of the territorial rights of the indigenous peoples of the Nicaraguan Caribbean)</w:t>
      </w:r>
      <w:r w:rsidR="00067A63" w:rsidRPr="00B55B1D">
        <w:rPr>
          <w:rFonts w:ascii="Times New Roman" w:hAnsi="Times New Roman"/>
          <w:lang w:val="en-GB"/>
        </w:rPr>
        <w:t xml:space="preserve">, reprinted in A. Rivas and R. </w:t>
      </w:r>
      <w:proofErr w:type="spellStart"/>
      <w:r w:rsidR="00067A63" w:rsidRPr="00B55B1D">
        <w:rPr>
          <w:rFonts w:ascii="Times New Roman" w:hAnsi="Times New Roman"/>
          <w:lang w:val="en-GB"/>
        </w:rPr>
        <w:t>Broegaard</w:t>
      </w:r>
      <w:proofErr w:type="spellEnd"/>
      <w:r w:rsidR="00067A63" w:rsidRPr="00B55B1D">
        <w:rPr>
          <w:rFonts w:ascii="Times New Roman" w:hAnsi="Times New Roman"/>
          <w:lang w:val="en-GB"/>
        </w:rPr>
        <w:t xml:space="preserve"> (</w:t>
      </w:r>
      <w:proofErr w:type="spellStart"/>
      <w:r w:rsidR="00067A63" w:rsidRPr="00B55B1D">
        <w:rPr>
          <w:rFonts w:ascii="Times New Roman" w:hAnsi="Times New Roman"/>
          <w:lang w:val="en-GB"/>
        </w:rPr>
        <w:t>eds</w:t>
      </w:r>
      <w:proofErr w:type="spellEnd"/>
      <w:r w:rsidR="00067A63" w:rsidRPr="00B55B1D">
        <w:rPr>
          <w:rFonts w:ascii="Times New Roman" w:hAnsi="Times New Roman"/>
          <w:lang w:val="en-GB"/>
        </w:rPr>
        <w:t xml:space="preserve">) (2006) </w:t>
      </w:r>
      <w:proofErr w:type="spellStart"/>
      <w:r w:rsidR="00067A63" w:rsidRPr="00B55B1D">
        <w:rPr>
          <w:rFonts w:ascii="Times New Roman" w:hAnsi="Times New Roman"/>
          <w:i/>
          <w:lang w:val="en-GB"/>
        </w:rPr>
        <w:t>Demarcación</w:t>
      </w:r>
      <w:proofErr w:type="spellEnd"/>
      <w:r w:rsidR="00067A63" w:rsidRPr="00B55B1D">
        <w:rPr>
          <w:rFonts w:ascii="Times New Roman" w:hAnsi="Times New Roman"/>
          <w:i/>
          <w:lang w:val="en-GB"/>
        </w:rPr>
        <w:t xml:space="preserve"> territorial de la </w:t>
      </w:r>
      <w:proofErr w:type="spellStart"/>
      <w:r w:rsidR="00067A63" w:rsidRPr="00B55B1D">
        <w:rPr>
          <w:rFonts w:ascii="Times New Roman" w:hAnsi="Times New Roman"/>
          <w:i/>
          <w:lang w:val="en-GB"/>
        </w:rPr>
        <w:t>propiedad</w:t>
      </w:r>
      <w:proofErr w:type="spellEnd"/>
      <w:r w:rsidR="00067A63" w:rsidRPr="00B55B1D">
        <w:rPr>
          <w:rFonts w:ascii="Times New Roman" w:hAnsi="Times New Roman"/>
          <w:i/>
          <w:lang w:val="en-GB"/>
        </w:rPr>
        <w:t xml:space="preserve"> communal en la Costa Caribe de Nicaragua</w:t>
      </w:r>
      <w:r w:rsidR="001B7287" w:rsidRPr="00B55B1D">
        <w:rPr>
          <w:rFonts w:ascii="Times New Roman" w:hAnsi="Times New Roman"/>
          <w:i/>
          <w:lang w:val="en-GB"/>
        </w:rPr>
        <w:t xml:space="preserve"> (Territorial demarcation of communal property on the Caribbean Coast of Nicaragua).</w:t>
      </w:r>
      <w:r w:rsidR="00067A63" w:rsidRPr="00B55B1D">
        <w:rPr>
          <w:rFonts w:ascii="Times New Roman" w:hAnsi="Times New Roman"/>
          <w:i/>
          <w:lang w:val="en-GB"/>
        </w:rPr>
        <w:t xml:space="preserve"> </w:t>
      </w:r>
      <w:r w:rsidR="00067A63" w:rsidRPr="00B55B1D">
        <w:rPr>
          <w:rFonts w:ascii="Times New Roman" w:hAnsi="Times New Roman"/>
          <w:lang w:val="en-GB"/>
        </w:rPr>
        <w:t xml:space="preserve">Managua: </w:t>
      </w:r>
      <w:proofErr w:type="spellStart"/>
      <w:r w:rsidR="00067A63" w:rsidRPr="00B55B1D">
        <w:rPr>
          <w:rFonts w:ascii="Times New Roman" w:hAnsi="Times New Roman"/>
          <w:lang w:val="en-GB"/>
        </w:rPr>
        <w:t>MultiGrafic</w:t>
      </w:r>
      <w:proofErr w:type="spellEnd"/>
      <w:r w:rsidR="00067A63" w:rsidRPr="00B55B1D">
        <w:rPr>
          <w:rFonts w:ascii="Times New Roman" w:hAnsi="Times New Roman"/>
          <w:lang w:val="en-GB"/>
        </w:rPr>
        <w:t>.</w:t>
      </w:r>
    </w:p>
    <w:p w:rsidR="00067A63" w:rsidRPr="00B55B1D" w:rsidRDefault="00067A63" w:rsidP="00067A63">
      <w:pPr>
        <w:spacing w:after="0"/>
        <w:rPr>
          <w:rFonts w:ascii="Times New Roman" w:hAnsi="Times New Roman" w:cs="Helvetica"/>
          <w:lang w:val="en-GB"/>
        </w:rPr>
      </w:pPr>
    </w:p>
    <w:p w:rsidR="00067A63" w:rsidRPr="00B55B1D" w:rsidRDefault="001B7287" w:rsidP="00067A63">
      <w:pPr>
        <w:widowControl w:val="0"/>
        <w:rPr>
          <w:rFonts w:ascii="Times New Roman" w:hAnsi="Times New Roman"/>
          <w:b/>
          <w:lang w:val="en-GB"/>
        </w:rPr>
      </w:pPr>
      <w:r w:rsidRPr="00B55B1D">
        <w:rPr>
          <w:rFonts w:ascii="Times New Roman" w:eastAsia="Cambria" w:hAnsi="Times New Roman"/>
          <w:lang w:val="en-GB"/>
        </w:rPr>
        <w:t>White, A.</w:t>
      </w:r>
      <w:r w:rsidR="008C7900" w:rsidRPr="00B55B1D">
        <w:rPr>
          <w:rFonts w:ascii="Times New Roman" w:eastAsia="Cambria" w:hAnsi="Times New Roman"/>
          <w:lang w:val="en-GB"/>
        </w:rPr>
        <w:t xml:space="preserve"> and A. Martin </w:t>
      </w:r>
      <w:r w:rsidR="00D7534E" w:rsidRPr="00B55B1D">
        <w:rPr>
          <w:rFonts w:ascii="Times New Roman" w:eastAsia="Cambria" w:hAnsi="Times New Roman"/>
          <w:lang w:val="en-GB"/>
        </w:rPr>
        <w:t>(</w:t>
      </w:r>
      <w:r w:rsidR="008C7900" w:rsidRPr="00B55B1D">
        <w:rPr>
          <w:rFonts w:ascii="Times New Roman" w:eastAsia="Cambria" w:hAnsi="Times New Roman"/>
          <w:lang w:val="en-GB"/>
        </w:rPr>
        <w:t>2002</w:t>
      </w:r>
      <w:r w:rsidR="00D7534E" w:rsidRPr="00B55B1D">
        <w:rPr>
          <w:rFonts w:ascii="Times New Roman" w:eastAsia="Cambria" w:hAnsi="Times New Roman"/>
          <w:lang w:val="en-GB"/>
        </w:rPr>
        <w:t>)</w:t>
      </w:r>
      <w:r w:rsidR="00067A63" w:rsidRPr="00B55B1D">
        <w:rPr>
          <w:rFonts w:ascii="Times New Roman" w:eastAsia="Cambria" w:hAnsi="Times New Roman"/>
          <w:lang w:val="en-GB"/>
        </w:rPr>
        <w:t xml:space="preserve"> </w:t>
      </w:r>
      <w:r w:rsidR="00067A63" w:rsidRPr="00B55B1D">
        <w:rPr>
          <w:rFonts w:ascii="Times New Roman" w:eastAsia="Cambria" w:hAnsi="Times New Roman"/>
          <w:i/>
          <w:lang w:val="en-GB"/>
        </w:rPr>
        <w:t>Who Owns the World’s Forests?</w:t>
      </w:r>
      <w:r w:rsidR="00067A63" w:rsidRPr="00B55B1D">
        <w:rPr>
          <w:rFonts w:ascii="Times New Roman" w:eastAsia="Cambria" w:hAnsi="Times New Roman"/>
          <w:lang w:val="en-GB"/>
        </w:rPr>
        <w:t xml:space="preserve"> Washington, DC: Forest Trends.</w:t>
      </w: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b/>
          <w:lang w:val="en-GB"/>
        </w:rPr>
      </w:pPr>
    </w:p>
    <w:p w:rsidR="00067A63" w:rsidRPr="00B55B1D" w:rsidRDefault="00067A63" w:rsidP="00067A63">
      <w:pPr>
        <w:spacing w:after="0"/>
        <w:rPr>
          <w:rFonts w:ascii="Times New Roman" w:hAnsi="Times New Roman"/>
          <w:lang w:val="en-GB"/>
        </w:rPr>
      </w:pPr>
    </w:p>
    <w:p w:rsidR="00067A63" w:rsidRPr="00B55B1D" w:rsidRDefault="00067A63" w:rsidP="00067A63">
      <w:pPr>
        <w:spacing w:after="0"/>
        <w:rPr>
          <w:rFonts w:ascii="Times New Roman" w:hAnsi="Times New Roman"/>
          <w:lang w:val="en-GB"/>
        </w:rPr>
      </w:pPr>
    </w:p>
    <w:p w:rsidR="00067A63" w:rsidRPr="00B55B1D" w:rsidRDefault="00067A63">
      <w:pPr>
        <w:rPr>
          <w:rFonts w:ascii="Times New Roman" w:eastAsiaTheme="minorHAnsi" w:hAnsi="Times New Roman" w:cstheme="minorBidi"/>
          <w:sz w:val="20"/>
          <w:szCs w:val="20"/>
          <w:lang w:val="en-GB"/>
        </w:rPr>
      </w:pPr>
    </w:p>
    <w:sectPr w:rsidR="00067A63" w:rsidRPr="00B55B1D" w:rsidSect="00067A63">
      <w:headerReference w:type="default" r:id="rId12"/>
      <w:footerReference w:type="even" r:id="rId13"/>
      <w:footerReference w:type="default" r:id="rId14"/>
      <w:pgSz w:w="12240" w:h="15840"/>
      <w:pgMar w:top="1440" w:right="1440" w:bottom="1440" w:left="1440" w:header="709" w:footer="79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C5F" w:rsidRDefault="00544C5F" w:rsidP="00840710">
      <w:pPr>
        <w:spacing w:after="0"/>
      </w:pPr>
      <w:r>
        <w:separator/>
      </w:r>
    </w:p>
  </w:endnote>
  <w:endnote w:type="continuationSeparator" w:id="0">
    <w:p w:rsidR="00544C5F" w:rsidRDefault="00544C5F" w:rsidP="008407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utiger-Ligh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7F1B21" w:rsidP="00D216C8">
    <w:pPr>
      <w:pStyle w:val="Footer"/>
      <w:framePr w:wrap="around" w:vAnchor="text" w:hAnchor="margin" w:xAlign="right" w:y="1"/>
      <w:rPr>
        <w:rStyle w:val="PageNumber"/>
      </w:rPr>
    </w:pPr>
    <w:r>
      <w:rPr>
        <w:rStyle w:val="PageNumber"/>
      </w:rPr>
      <w:fldChar w:fldCharType="begin"/>
    </w:r>
    <w:r w:rsidR="00544C5F">
      <w:rPr>
        <w:rStyle w:val="PageNumber"/>
      </w:rPr>
      <w:instrText xml:space="preserve">PAGE  </w:instrText>
    </w:r>
    <w:r>
      <w:rPr>
        <w:rStyle w:val="PageNumber"/>
      </w:rPr>
      <w:fldChar w:fldCharType="end"/>
    </w:r>
  </w:p>
  <w:p w:rsidR="00544C5F" w:rsidRDefault="00544C5F" w:rsidP="005D54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C5F" w:rsidRDefault="007F1B21" w:rsidP="00D216C8">
    <w:pPr>
      <w:pStyle w:val="Footer"/>
      <w:framePr w:wrap="around" w:vAnchor="text" w:hAnchor="margin" w:xAlign="right" w:y="1"/>
      <w:rPr>
        <w:rStyle w:val="PageNumber"/>
      </w:rPr>
    </w:pPr>
    <w:r>
      <w:rPr>
        <w:rStyle w:val="PageNumber"/>
      </w:rPr>
      <w:fldChar w:fldCharType="begin"/>
    </w:r>
    <w:r w:rsidR="00544C5F">
      <w:rPr>
        <w:rStyle w:val="PageNumber"/>
      </w:rPr>
      <w:instrText xml:space="preserve">PAGE  </w:instrText>
    </w:r>
    <w:r>
      <w:rPr>
        <w:rStyle w:val="PageNumber"/>
      </w:rPr>
      <w:fldChar w:fldCharType="separate"/>
    </w:r>
    <w:r w:rsidR="00592D7D">
      <w:rPr>
        <w:rStyle w:val="PageNumber"/>
        <w:noProof/>
      </w:rPr>
      <w:t>1</w:t>
    </w:r>
    <w:r>
      <w:rPr>
        <w:rStyle w:val="PageNumber"/>
      </w:rPr>
      <w:fldChar w:fldCharType="end"/>
    </w:r>
  </w:p>
  <w:p w:rsidR="00544C5F" w:rsidRDefault="00544C5F" w:rsidP="005D54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C5F" w:rsidRDefault="00544C5F" w:rsidP="00840710">
      <w:pPr>
        <w:spacing w:after="0"/>
      </w:pPr>
      <w:r>
        <w:separator/>
      </w:r>
    </w:p>
  </w:footnote>
  <w:footnote w:type="continuationSeparator" w:id="0">
    <w:p w:rsidR="00544C5F" w:rsidRDefault="00544C5F" w:rsidP="00840710">
      <w:pPr>
        <w:spacing w:after="0"/>
      </w:pPr>
      <w:r>
        <w:continuationSeparator/>
      </w:r>
    </w:p>
  </w:footnote>
  <w:footnote w:id="1">
    <w:p w:rsidR="00544C5F" w:rsidRPr="003E5D58" w:rsidRDefault="00544C5F" w:rsidP="00067A63">
      <w:pPr>
        <w:pStyle w:val="FootnoteText"/>
        <w:rPr>
          <w:sz w:val="22"/>
        </w:rPr>
      </w:pPr>
      <w:r w:rsidRPr="003E5D58">
        <w:rPr>
          <w:rStyle w:val="FootnoteReference"/>
          <w:sz w:val="22"/>
        </w:rPr>
        <w:footnoteRef/>
      </w:r>
      <w:r w:rsidRPr="003E5D58">
        <w:rPr>
          <w:sz w:val="22"/>
        </w:rPr>
        <w:t xml:space="preserve"> </w:t>
      </w:r>
      <w:r>
        <w:rPr>
          <w:sz w:val="22"/>
        </w:rPr>
        <w:t xml:space="preserve">With the exception of a number of </w:t>
      </w:r>
      <w:r w:rsidRPr="003E5D58">
        <w:rPr>
          <w:sz w:val="22"/>
        </w:rPr>
        <w:t>decentralization</w:t>
      </w:r>
      <w:r>
        <w:rPr>
          <w:sz w:val="22"/>
        </w:rPr>
        <w:t xml:space="preserve"> studies</w:t>
      </w:r>
      <w:r w:rsidRPr="003E5D58">
        <w:rPr>
          <w:sz w:val="22"/>
        </w:rPr>
        <w:t xml:space="preserve"> </w:t>
      </w:r>
      <w:r>
        <w:rPr>
          <w:sz w:val="22"/>
        </w:rPr>
        <w:t>concerning customary authority</w:t>
      </w:r>
      <w:r w:rsidRPr="003E5D58">
        <w:rPr>
          <w:sz w:val="22"/>
        </w:rPr>
        <w:t xml:space="preserve"> led by Jesse </w:t>
      </w:r>
      <w:proofErr w:type="spellStart"/>
      <w:r w:rsidRPr="003E5D58">
        <w:rPr>
          <w:sz w:val="22"/>
        </w:rPr>
        <w:t>Ribot</w:t>
      </w:r>
      <w:proofErr w:type="spellEnd"/>
      <w:r w:rsidRPr="003E5D58">
        <w:rPr>
          <w:sz w:val="22"/>
        </w:rPr>
        <w:t xml:space="preserve"> in various African countries.</w:t>
      </w:r>
    </w:p>
  </w:footnote>
  <w:footnote w:id="2">
    <w:p w:rsidR="00544C5F" w:rsidRPr="003E5D58" w:rsidRDefault="00544C5F" w:rsidP="00067A63">
      <w:pPr>
        <w:pStyle w:val="FootnoteText"/>
        <w:rPr>
          <w:sz w:val="22"/>
        </w:rPr>
      </w:pPr>
      <w:r w:rsidRPr="003E5D58">
        <w:rPr>
          <w:rStyle w:val="FootnoteReference"/>
          <w:sz w:val="22"/>
        </w:rPr>
        <w:footnoteRef/>
      </w:r>
      <w:r w:rsidRPr="003E5D58">
        <w:rPr>
          <w:sz w:val="22"/>
        </w:rPr>
        <w:t xml:space="preserve"> The term institution here is used in the sense </w:t>
      </w:r>
      <w:proofErr w:type="spellStart"/>
      <w:r w:rsidRPr="003E5D58">
        <w:rPr>
          <w:sz w:val="22"/>
        </w:rPr>
        <w:t>Ribot</w:t>
      </w:r>
      <w:proofErr w:type="spellEnd"/>
      <w:r w:rsidRPr="003E5D58">
        <w:rPr>
          <w:sz w:val="22"/>
        </w:rPr>
        <w:t xml:space="preserve"> et al. (2008) refer to ‘institutional choice’ rather than in reference to social rules and norms.</w:t>
      </w:r>
    </w:p>
  </w:footnote>
  <w:footnote w:id="3">
    <w:p w:rsidR="00544C5F" w:rsidRPr="003E5D58" w:rsidRDefault="00544C5F" w:rsidP="00067A63">
      <w:pPr>
        <w:pStyle w:val="FootnoteText"/>
        <w:rPr>
          <w:sz w:val="22"/>
        </w:rPr>
      </w:pPr>
      <w:r w:rsidRPr="003E5D58">
        <w:rPr>
          <w:rStyle w:val="FootnoteReference"/>
          <w:sz w:val="22"/>
        </w:rPr>
        <w:footnoteRef/>
      </w:r>
      <w:r w:rsidRPr="003E5D58">
        <w:rPr>
          <w:sz w:val="22"/>
        </w:rPr>
        <w:t xml:space="preserve"> This would involve legal reforms that would have to be approved by the legislature. Since territories cross municipal borders currently, it is unclear how the two institutional structures will relate with each other as long as both exist. Under the territorial structures, however, non-indigenous residents have no guaranteed form of representation.</w:t>
      </w:r>
    </w:p>
    <w:p w:rsidR="00544C5F" w:rsidRPr="003E5D58" w:rsidRDefault="00544C5F" w:rsidP="00067A63">
      <w:pPr>
        <w:pStyle w:val="FootnoteText"/>
        <w:rPr>
          <w:sz w:val="22"/>
        </w:rPr>
      </w:pPr>
    </w:p>
    <w:p w:rsidR="00544C5F" w:rsidRPr="003E5D58" w:rsidRDefault="00544C5F" w:rsidP="00067A63">
      <w:pPr>
        <w:pStyle w:val="FootnoteText"/>
        <w:rPr>
          <w:sz w:val="22"/>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D7D" w:rsidRDefault="00592D7D">
    <w:pPr>
      <w:pStyle w:val="Header"/>
    </w:pPr>
    <w:r>
      <w:t>DRAFT FOR DISCUSSION, PLEASE DO NOT CITE WITHOUT PERMISSION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26B0"/>
    <w:multiLevelType w:val="hybridMultilevel"/>
    <w:tmpl w:val="5C6871D0"/>
    <w:lvl w:ilvl="0" w:tplc="4DD2CD10">
      <w:start w:val="1"/>
      <w:numFmt w:val="decimal"/>
      <w:lvlText w:val="(%1)"/>
      <w:lvlJc w:val="left"/>
      <w:pPr>
        <w:ind w:left="760" w:hanging="4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112898"/>
    <w:multiLevelType w:val="hybridMultilevel"/>
    <w:tmpl w:val="B81EDB2A"/>
    <w:lvl w:ilvl="0" w:tplc="DB667A00">
      <w:start w:val="1"/>
      <w:numFmt w:val="lowerLetter"/>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DC47697"/>
    <w:multiLevelType w:val="hybridMultilevel"/>
    <w:tmpl w:val="262E35FA"/>
    <w:lvl w:ilvl="0" w:tplc="3C5E31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09"/>
    <w:rsid w:val="00000B35"/>
    <w:rsid w:val="00025643"/>
    <w:rsid w:val="000306CF"/>
    <w:rsid w:val="000439D1"/>
    <w:rsid w:val="00052950"/>
    <w:rsid w:val="000547FA"/>
    <w:rsid w:val="00057BB6"/>
    <w:rsid w:val="000609E6"/>
    <w:rsid w:val="0006789E"/>
    <w:rsid w:val="00067A63"/>
    <w:rsid w:val="00082A3D"/>
    <w:rsid w:val="000833CE"/>
    <w:rsid w:val="00084055"/>
    <w:rsid w:val="000975B6"/>
    <w:rsid w:val="000C1989"/>
    <w:rsid w:val="000C1E02"/>
    <w:rsid w:val="000C584F"/>
    <w:rsid w:val="000C6D16"/>
    <w:rsid w:val="000D03FB"/>
    <w:rsid w:val="000D237E"/>
    <w:rsid w:val="000D2DE2"/>
    <w:rsid w:val="000D4ECD"/>
    <w:rsid w:val="000F194F"/>
    <w:rsid w:val="000F23D8"/>
    <w:rsid w:val="000F2816"/>
    <w:rsid w:val="000F3830"/>
    <w:rsid w:val="000F7E37"/>
    <w:rsid w:val="0010378A"/>
    <w:rsid w:val="001063D4"/>
    <w:rsid w:val="0010643C"/>
    <w:rsid w:val="00116EFA"/>
    <w:rsid w:val="00122095"/>
    <w:rsid w:val="0014041A"/>
    <w:rsid w:val="0014648A"/>
    <w:rsid w:val="0015213D"/>
    <w:rsid w:val="00153633"/>
    <w:rsid w:val="001567F9"/>
    <w:rsid w:val="001607F4"/>
    <w:rsid w:val="00160F5B"/>
    <w:rsid w:val="00163669"/>
    <w:rsid w:val="00165C80"/>
    <w:rsid w:val="001735A7"/>
    <w:rsid w:val="0018126B"/>
    <w:rsid w:val="0018436C"/>
    <w:rsid w:val="00184B30"/>
    <w:rsid w:val="001864AE"/>
    <w:rsid w:val="00197473"/>
    <w:rsid w:val="001A11FD"/>
    <w:rsid w:val="001B5642"/>
    <w:rsid w:val="001B67FD"/>
    <w:rsid w:val="001B7287"/>
    <w:rsid w:val="001E44DF"/>
    <w:rsid w:val="001E6F7E"/>
    <w:rsid w:val="00207448"/>
    <w:rsid w:val="00214815"/>
    <w:rsid w:val="00227260"/>
    <w:rsid w:val="00236860"/>
    <w:rsid w:val="00237636"/>
    <w:rsid w:val="002430D1"/>
    <w:rsid w:val="002635E3"/>
    <w:rsid w:val="00277D5D"/>
    <w:rsid w:val="002954DD"/>
    <w:rsid w:val="00297E65"/>
    <w:rsid w:val="002A6A58"/>
    <w:rsid w:val="002A7121"/>
    <w:rsid w:val="002B1F09"/>
    <w:rsid w:val="002B20E9"/>
    <w:rsid w:val="002B23D0"/>
    <w:rsid w:val="002B27FD"/>
    <w:rsid w:val="002B31D8"/>
    <w:rsid w:val="002B6D21"/>
    <w:rsid w:val="002C64D2"/>
    <w:rsid w:val="002D5741"/>
    <w:rsid w:val="002D654B"/>
    <w:rsid w:val="002E3584"/>
    <w:rsid w:val="002E3D13"/>
    <w:rsid w:val="002E56FA"/>
    <w:rsid w:val="002E5F6D"/>
    <w:rsid w:val="00305CBE"/>
    <w:rsid w:val="00306D32"/>
    <w:rsid w:val="00307F2B"/>
    <w:rsid w:val="00311FD8"/>
    <w:rsid w:val="00322373"/>
    <w:rsid w:val="00325D9C"/>
    <w:rsid w:val="003329AE"/>
    <w:rsid w:val="003376D4"/>
    <w:rsid w:val="0034786C"/>
    <w:rsid w:val="00362A57"/>
    <w:rsid w:val="0036449E"/>
    <w:rsid w:val="00366C78"/>
    <w:rsid w:val="00371926"/>
    <w:rsid w:val="0037382C"/>
    <w:rsid w:val="00374B15"/>
    <w:rsid w:val="00387CE5"/>
    <w:rsid w:val="003910B4"/>
    <w:rsid w:val="00395FE4"/>
    <w:rsid w:val="003B45F5"/>
    <w:rsid w:val="003B6971"/>
    <w:rsid w:val="003C2CC8"/>
    <w:rsid w:val="003C32AE"/>
    <w:rsid w:val="003D59D2"/>
    <w:rsid w:val="003D68B0"/>
    <w:rsid w:val="003D7BD6"/>
    <w:rsid w:val="003E5D58"/>
    <w:rsid w:val="003E5FED"/>
    <w:rsid w:val="003E6E96"/>
    <w:rsid w:val="00405D14"/>
    <w:rsid w:val="00415BB9"/>
    <w:rsid w:val="00426C19"/>
    <w:rsid w:val="00430442"/>
    <w:rsid w:val="004322A7"/>
    <w:rsid w:val="00435E75"/>
    <w:rsid w:val="004431C5"/>
    <w:rsid w:val="00447415"/>
    <w:rsid w:val="0045044B"/>
    <w:rsid w:val="00451A67"/>
    <w:rsid w:val="00453CDA"/>
    <w:rsid w:val="00455D96"/>
    <w:rsid w:val="0045653D"/>
    <w:rsid w:val="00456B78"/>
    <w:rsid w:val="00465F31"/>
    <w:rsid w:val="00491DF5"/>
    <w:rsid w:val="00496AE3"/>
    <w:rsid w:val="004A657D"/>
    <w:rsid w:val="004A7171"/>
    <w:rsid w:val="004C4321"/>
    <w:rsid w:val="004C6B2C"/>
    <w:rsid w:val="004D1E2E"/>
    <w:rsid w:val="004D3E50"/>
    <w:rsid w:val="004D5533"/>
    <w:rsid w:val="004D6989"/>
    <w:rsid w:val="004E01D1"/>
    <w:rsid w:val="004E493D"/>
    <w:rsid w:val="004F3148"/>
    <w:rsid w:val="004F3EC1"/>
    <w:rsid w:val="00502CEC"/>
    <w:rsid w:val="00507B40"/>
    <w:rsid w:val="00520C31"/>
    <w:rsid w:val="00527BF4"/>
    <w:rsid w:val="0053445C"/>
    <w:rsid w:val="0053455C"/>
    <w:rsid w:val="00544AB4"/>
    <w:rsid w:val="00544C5F"/>
    <w:rsid w:val="005504A8"/>
    <w:rsid w:val="0055383C"/>
    <w:rsid w:val="0056064A"/>
    <w:rsid w:val="00561530"/>
    <w:rsid w:val="00561E59"/>
    <w:rsid w:val="00573A0C"/>
    <w:rsid w:val="00581BB3"/>
    <w:rsid w:val="00592D7D"/>
    <w:rsid w:val="005B1F7C"/>
    <w:rsid w:val="005C691B"/>
    <w:rsid w:val="005D0693"/>
    <w:rsid w:val="005D544D"/>
    <w:rsid w:val="005E2F70"/>
    <w:rsid w:val="005E3E9C"/>
    <w:rsid w:val="00603ABC"/>
    <w:rsid w:val="00610375"/>
    <w:rsid w:val="00625F0E"/>
    <w:rsid w:val="00627D5C"/>
    <w:rsid w:val="00631E1D"/>
    <w:rsid w:val="006439BB"/>
    <w:rsid w:val="00656337"/>
    <w:rsid w:val="0066272B"/>
    <w:rsid w:val="00671C8C"/>
    <w:rsid w:val="0068727B"/>
    <w:rsid w:val="006879E1"/>
    <w:rsid w:val="006A554B"/>
    <w:rsid w:val="006A6A7F"/>
    <w:rsid w:val="006C3C40"/>
    <w:rsid w:val="006C558F"/>
    <w:rsid w:val="006D2D17"/>
    <w:rsid w:val="006E71C7"/>
    <w:rsid w:val="006E768A"/>
    <w:rsid w:val="006F22D7"/>
    <w:rsid w:val="006F4B52"/>
    <w:rsid w:val="006F5D0C"/>
    <w:rsid w:val="00700225"/>
    <w:rsid w:val="00700F77"/>
    <w:rsid w:val="00701F4C"/>
    <w:rsid w:val="0070215F"/>
    <w:rsid w:val="0071308B"/>
    <w:rsid w:val="00717973"/>
    <w:rsid w:val="007300A2"/>
    <w:rsid w:val="0073079D"/>
    <w:rsid w:val="00731509"/>
    <w:rsid w:val="00737989"/>
    <w:rsid w:val="00740975"/>
    <w:rsid w:val="00745BF2"/>
    <w:rsid w:val="00746A4C"/>
    <w:rsid w:val="007513D3"/>
    <w:rsid w:val="00753993"/>
    <w:rsid w:val="0075538E"/>
    <w:rsid w:val="00763570"/>
    <w:rsid w:val="0076799B"/>
    <w:rsid w:val="00771AB8"/>
    <w:rsid w:val="00775A15"/>
    <w:rsid w:val="00776EB0"/>
    <w:rsid w:val="007A5F4D"/>
    <w:rsid w:val="007A7D37"/>
    <w:rsid w:val="007C32E7"/>
    <w:rsid w:val="007C3EBD"/>
    <w:rsid w:val="007D561B"/>
    <w:rsid w:val="007E3336"/>
    <w:rsid w:val="007F1B21"/>
    <w:rsid w:val="0080218C"/>
    <w:rsid w:val="008061CD"/>
    <w:rsid w:val="008075A0"/>
    <w:rsid w:val="00820108"/>
    <w:rsid w:val="00822FF8"/>
    <w:rsid w:val="00840710"/>
    <w:rsid w:val="0084335C"/>
    <w:rsid w:val="00847261"/>
    <w:rsid w:val="008513C8"/>
    <w:rsid w:val="00851C0D"/>
    <w:rsid w:val="00872D98"/>
    <w:rsid w:val="00875DCA"/>
    <w:rsid w:val="00876F86"/>
    <w:rsid w:val="008955C3"/>
    <w:rsid w:val="008A3BDF"/>
    <w:rsid w:val="008A5436"/>
    <w:rsid w:val="008A767C"/>
    <w:rsid w:val="008B1E02"/>
    <w:rsid w:val="008B6C82"/>
    <w:rsid w:val="008B75BC"/>
    <w:rsid w:val="008C5024"/>
    <w:rsid w:val="008C6CAD"/>
    <w:rsid w:val="008C7900"/>
    <w:rsid w:val="008D040E"/>
    <w:rsid w:val="008E60F2"/>
    <w:rsid w:val="008E696E"/>
    <w:rsid w:val="008E713A"/>
    <w:rsid w:val="009049D0"/>
    <w:rsid w:val="009055A9"/>
    <w:rsid w:val="0091579E"/>
    <w:rsid w:val="00922002"/>
    <w:rsid w:val="009225EF"/>
    <w:rsid w:val="00945807"/>
    <w:rsid w:val="009509E6"/>
    <w:rsid w:val="00952A15"/>
    <w:rsid w:val="009543F2"/>
    <w:rsid w:val="00954A3A"/>
    <w:rsid w:val="00955C47"/>
    <w:rsid w:val="00955FB4"/>
    <w:rsid w:val="00960AD0"/>
    <w:rsid w:val="009703DF"/>
    <w:rsid w:val="0097370D"/>
    <w:rsid w:val="00973ABE"/>
    <w:rsid w:val="00986B65"/>
    <w:rsid w:val="009A0493"/>
    <w:rsid w:val="009A1DA4"/>
    <w:rsid w:val="009A591E"/>
    <w:rsid w:val="009C1AA5"/>
    <w:rsid w:val="009C4B6A"/>
    <w:rsid w:val="009C67E3"/>
    <w:rsid w:val="009D0D62"/>
    <w:rsid w:val="009D211F"/>
    <w:rsid w:val="009E0302"/>
    <w:rsid w:val="009F5B37"/>
    <w:rsid w:val="009F612C"/>
    <w:rsid w:val="00A023FB"/>
    <w:rsid w:val="00A1057E"/>
    <w:rsid w:val="00A2644C"/>
    <w:rsid w:val="00A30A37"/>
    <w:rsid w:val="00A373E2"/>
    <w:rsid w:val="00A42E45"/>
    <w:rsid w:val="00A44841"/>
    <w:rsid w:val="00A44F75"/>
    <w:rsid w:val="00A53758"/>
    <w:rsid w:val="00A642FD"/>
    <w:rsid w:val="00A66997"/>
    <w:rsid w:val="00A740BF"/>
    <w:rsid w:val="00A76876"/>
    <w:rsid w:val="00A7698D"/>
    <w:rsid w:val="00A928E8"/>
    <w:rsid w:val="00A93DC4"/>
    <w:rsid w:val="00AA01AD"/>
    <w:rsid w:val="00AB0200"/>
    <w:rsid w:val="00AB2377"/>
    <w:rsid w:val="00AB7614"/>
    <w:rsid w:val="00AC008D"/>
    <w:rsid w:val="00AC1138"/>
    <w:rsid w:val="00AC4BD8"/>
    <w:rsid w:val="00AD02FD"/>
    <w:rsid w:val="00AD7507"/>
    <w:rsid w:val="00AE256D"/>
    <w:rsid w:val="00AE4822"/>
    <w:rsid w:val="00AF3688"/>
    <w:rsid w:val="00AF42C9"/>
    <w:rsid w:val="00B06696"/>
    <w:rsid w:val="00B122FB"/>
    <w:rsid w:val="00B137D6"/>
    <w:rsid w:val="00B1419C"/>
    <w:rsid w:val="00B258F3"/>
    <w:rsid w:val="00B26E70"/>
    <w:rsid w:val="00B32EBB"/>
    <w:rsid w:val="00B33679"/>
    <w:rsid w:val="00B36F5B"/>
    <w:rsid w:val="00B41110"/>
    <w:rsid w:val="00B42743"/>
    <w:rsid w:val="00B43E95"/>
    <w:rsid w:val="00B51D6D"/>
    <w:rsid w:val="00B54E38"/>
    <w:rsid w:val="00B55B1D"/>
    <w:rsid w:val="00B56305"/>
    <w:rsid w:val="00B631E0"/>
    <w:rsid w:val="00B66FD2"/>
    <w:rsid w:val="00B82582"/>
    <w:rsid w:val="00B82884"/>
    <w:rsid w:val="00B83452"/>
    <w:rsid w:val="00B9068E"/>
    <w:rsid w:val="00B91B9E"/>
    <w:rsid w:val="00B94B6D"/>
    <w:rsid w:val="00BA632F"/>
    <w:rsid w:val="00BB018F"/>
    <w:rsid w:val="00BB060F"/>
    <w:rsid w:val="00BB20C2"/>
    <w:rsid w:val="00BC06F1"/>
    <w:rsid w:val="00BC7D73"/>
    <w:rsid w:val="00BD4C2A"/>
    <w:rsid w:val="00BE03FE"/>
    <w:rsid w:val="00BE13A3"/>
    <w:rsid w:val="00BE5964"/>
    <w:rsid w:val="00BF7121"/>
    <w:rsid w:val="00BF78D1"/>
    <w:rsid w:val="00C0742B"/>
    <w:rsid w:val="00C124B8"/>
    <w:rsid w:val="00C1698E"/>
    <w:rsid w:val="00C3136B"/>
    <w:rsid w:val="00C31571"/>
    <w:rsid w:val="00C3228B"/>
    <w:rsid w:val="00C34B47"/>
    <w:rsid w:val="00C36344"/>
    <w:rsid w:val="00C40A87"/>
    <w:rsid w:val="00C41F23"/>
    <w:rsid w:val="00C50B84"/>
    <w:rsid w:val="00C51652"/>
    <w:rsid w:val="00C62BF3"/>
    <w:rsid w:val="00C67958"/>
    <w:rsid w:val="00C70994"/>
    <w:rsid w:val="00C72199"/>
    <w:rsid w:val="00C83545"/>
    <w:rsid w:val="00CA11BE"/>
    <w:rsid w:val="00CB01AA"/>
    <w:rsid w:val="00CC104D"/>
    <w:rsid w:val="00CC4AA4"/>
    <w:rsid w:val="00CC62B8"/>
    <w:rsid w:val="00CD51AD"/>
    <w:rsid w:val="00CE239A"/>
    <w:rsid w:val="00CE72BD"/>
    <w:rsid w:val="00CE7995"/>
    <w:rsid w:val="00CF65C0"/>
    <w:rsid w:val="00CF792C"/>
    <w:rsid w:val="00D02221"/>
    <w:rsid w:val="00D06005"/>
    <w:rsid w:val="00D14854"/>
    <w:rsid w:val="00D14947"/>
    <w:rsid w:val="00D17FD0"/>
    <w:rsid w:val="00D216C8"/>
    <w:rsid w:val="00D251CE"/>
    <w:rsid w:val="00D503A7"/>
    <w:rsid w:val="00D5404A"/>
    <w:rsid w:val="00D57F4B"/>
    <w:rsid w:val="00D64940"/>
    <w:rsid w:val="00D662BA"/>
    <w:rsid w:val="00D7003C"/>
    <w:rsid w:val="00D700B3"/>
    <w:rsid w:val="00D7534E"/>
    <w:rsid w:val="00D821E3"/>
    <w:rsid w:val="00D85984"/>
    <w:rsid w:val="00DA48B5"/>
    <w:rsid w:val="00DC5CA3"/>
    <w:rsid w:val="00DC6BD6"/>
    <w:rsid w:val="00DD119F"/>
    <w:rsid w:val="00DD20A0"/>
    <w:rsid w:val="00DD4BDF"/>
    <w:rsid w:val="00DE75BE"/>
    <w:rsid w:val="00DE7835"/>
    <w:rsid w:val="00DF267C"/>
    <w:rsid w:val="00E06306"/>
    <w:rsid w:val="00E0631B"/>
    <w:rsid w:val="00E0779C"/>
    <w:rsid w:val="00E16171"/>
    <w:rsid w:val="00E161C7"/>
    <w:rsid w:val="00E20E59"/>
    <w:rsid w:val="00E26D01"/>
    <w:rsid w:val="00E33140"/>
    <w:rsid w:val="00E35318"/>
    <w:rsid w:val="00E36276"/>
    <w:rsid w:val="00E406BE"/>
    <w:rsid w:val="00E41D84"/>
    <w:rsid w:val="00E42953"/>
    <w:rsid w:val="00E56D4F"/>
    <w:rsid w:val="00E630BE"/>
    <w:rsid w:val="00E67467"/>
    <w:rsid w:val="00E73FC2"/>
    <w:rsid w:val="00E777A5"/>
    <w:rsid w:val="00E83745"/>
    <w:rsid w:val="00E84556"/>
    <w:rsid w:val="00E84E56"/>
    <w:rsid w:val="00E905C0"/>
    <w:rsid w:val="00E9395C"/>
    <w:rsid w:val="00E95386"/>
    <w:rsid w:val="00EA265C"/>
    <w:rsid w:val="00EA4873"/>
    <w:rsid w:val="00EA48F9"/>
    <w:rsid w:val="00EB0E9F"/>
    <w:rsid w:val="00EB22A4"/>
    <w:rsid w:val="00EB30B2"/>
    <w:rsid w:val="00EC1BE5"/>
    <w:rsid w:val="00EC5FE7"/>
    <w:rsid w:val="00ED08AE"/>
    <w:rsid w:val="00EF4B45"/>
    <w:rsid w:val="00EF53E5"/>
    <w:rsid w:val="00EF5B6E"/>
    <w:rsid w:val="00F054CC"/>
    <w:rsid w:val="00F06AAD"/>
    <w:rsid w:val="00F07DD9"/>
    <w:rsid w:val="00F1524D"/>
    <w:rsid w:val="00F15E42"/>
    <w:rsid w:val="00F17CEE"/>
    <w:rsid w:val="00F20167"/>
    <w:rsid w:val="00F329B9"/>
    <w:rsid w:val="00F33404"/>
    <w:rsid w:val="00F45E6A"/>
    <w:rsid w:val="00F5014C"/>
    <w:rsid w:val="00F55C99"/>
    <w:rsid w:val="00F71295"/>
    <w:rsid w:val="00F724C3"/>
    <w:rsid w:val="00F73720"/>
    <w:rsid w:val="00F828E2"/>
    <w:rsid w:val="00F90156"/>
    <w:rsid w:val="00F97E39"/>
    <w:rsid w:val="00FA0567"/>
    <w:rsid w:val="00FA51C3"/>
    <w:rsid w:val="00FA7902"/>
    <w:rsid w:val="00FA798D"/>
    <w:rsid w:val="00FB2AEC"/>
    <w:rsid w:val="00FC17A0"/>
    <w:rsid w:val="00FD71A5"/>
    <w:rsid w:val="00FE09A2"/>
    <w:rsid w:val="00FF04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09"/>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6879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autoRedefine/>
    <w:qFormat/>
    <w:rsid w:val="006019C2"/>
    <w:pPr>
      <w:spacing w:before="240" w:after="60"/>
      <w:outlineLvl w:val="4"/>
    </w:pPr>
    <w:rPr>
      <w:rFonts w:ascii="Times New Roman" w:hAnsi="Times New Roman"/>
      <w:b/>
      <w:bCs/>
      <w:i/>
      <w:iCs/>
      <w:sz w:val="20"/>
      <w:szCs w:val="26"/>
      <w:lang w:val="es-NI"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B1F09"/>
    <w:rPr>
      <w:rFonts w:ascii="Tahoma" w:hAnsi="Tahoma" w:cs="Lucida Grande"/>
      <w:sz w:val="16"/>
      <w:szCs w:val="16"/>
    </w:rPr>
  </w:style>
  <w:style w:type="character" w:customStyle="1" w:styleId="BalloonTextChar">
    <w:name w:val="Balloon Text Char"/>
    <w:basedOn w:val="DefaultParagraphFont"/>
    <w:uiPriority w:val="99"/>
    <w:semiHidden/>
    <w:rsid w:val="00970C26"/>
    <w:rPr>
      <w:rFonts w:ascii="Lucida Grande" w:hAnsi="Lucida Grande"/>
      <w:sz w:val="18"/>
      <w:szCs w:val="18"/>
    </w:rPr>
  </w:style>
  <w:style w:type="character" w:customStyle="1" w:styleId="BalloonTextChar0">
    <w:name w:val="Balloon Text Char"/>
    <w:basedOn w:val="DefaultParagraphFont"/>
    <w:uiPriority w:val="99"/>
    <w:semiHidden/>
    <w:rsid w:val="00970C26"/>
    <w:rPr>
      <w:rFonts w:ascii="Lucida Grande" w:hAnsi="Lucida Grande"/>
      <w:sz w:val="18"/>
      <w:szCs w:val="18"/>
    </w:rPr>
  </w:style>
  <w:style w:type="character" w:customStyle="1" w:styleId="BalloonTextChar2">
    <w:name w:val="Balloon Text Char"/>
    <w:basedOn w:val="DefaultParagraphFont"/>
    <w:uiPriority w:val="99"/>
    <w:semiHidden/>
    <w:rsid w:val="00970C26"/>
    <w:rPr>
      <w:rFonts w:ascii="Lucida Grande" w:hAnsi="Lucida Grande"/>
      <w:sz w:val="18"/>
      <w:szCs w:val="18"/>
    </w:rPr>
  </w:style>
  <w:style w:type="character" w:customStyle="1" w:styleId="BalloonTextChar3">
    <w:name w:val="Balloon Text Char"/>
    <w:basedOn w:val="DefaultParagraphFont"/>
    <w:uiPriority w:val="99"/>
    <w:semiHidden/>
    <w:rsid w:val="00AE7859"/>
    <w:rPr>
      <w:rFonts w:ascii="Lucida Grande" w:hAnsi="Lucida Grande"/>
      <w:sz w:val="18"/>
      <w:szCs w:val="18"/>
    </w:rPr>
  </w:style>
  <w:style w:type="character" w:customStyle="1" w:styleId="BalloonTextChar4">
    <w:name w:val="Balloon Text Char"/>
    <w:basedOn w:val="DefaultParagraphFont"/>
    <w:uiPriority w:val="99"/>
    <w:semiHidden/>
    <w:rsid w:val="00062921"/>
    <w:rPr>
      <w:rFonts w:ascii="Lucida Grande" w:hAnsi="Lucida Grande"/>
      <w:sz w:val="18"/>
      <w:szCs w:val="18"/>
    </w:rPr>
  </w:style>
  <w:style w:type="character" w:customStyle="1" w:styleId="BalloonTextChar5">
    <w:name w:val="Balloon Text Char"/>
    <w:basedOn w:val="DefaultParagraphFont"/>
    <w:uiPriority w:val="99"/>
    <w:semiHidden/>
    <w:rsid w:val="00B655C5"/>
    <w:rPr>
      <w:rFonts w:ascii="Lucida Grande" w:hAnsi="Lucida Grande"/>
      <w:sz w:val="18"/>
      <w:szCs w:val="18"/>
    </w:rPr>
  </w:style>
  <w:style w:type="character" w:customStyle="1" w:styleId="BalloonTextChar6">
    <w:name w:val="Balloon Text Char"/>
    <w:basedOn w:val="DefaultParagraphFont"/>
    <w:uiPriority w:val="99"/>
    <w:semiHidden/>
    <w:rsid w:val="00303F7B"/>
    <w:rPr>
      <w:rFonts w:ascii="Lucida Grande" w:hAnsi="Lucida Grande"/>
      <w:sz w:val="18"/>
      <w:szCs w:val="18"/>
    </w:rPr>
  </w:style>
  <w:style w:type="character" w:customStyle="1" w:styleId="BalloonTextChar7">
    <w:name w:val="Balloon Text Char"/>
    <w:basedOn w:val="DefaultParagraphFont"/>
    <w:uiPriority w:val="99"/>
    <w:semiHidden/>
    <w:rsid w:val="002765E6"/>
    <w:rPr>
      <w:rFonts w:ascii="Lucida Grande" w:hAnsi="Lucida Grande"/>
      <w:sz w:val="18"/>
      <w:szCs w:val="18"/>
    </w:rPr>
  </w:style>
  <w:style w:type="character" w:customStyle="1" w:styleId="BalloonTextChar8">
    <w:name w:val="Balloon Text Char"/>
    <w:basedOn w:val="DefaultParagraphFont"/>
    <w:uiPriority w:val="99"/>
    <w:semiHidden/>
    <w:rsid w:val="00F774A4"/>
    <w:rPr>
      <w:rFonts w:ascii="Lucida Grande" w:hAnsi="Lucida Grande"/>
      <w:sz w:val="18"/>
      <w:szCs w:val="18"/>
    </w:rPr>
  </w:style>
  <w:style w:type="character" w:customStyle="1" w:styleId="BalloonTextChar9">
    <w:name w:val="Balloon Text Char"/>
    <w:basedOn w:val="DefaultParagraphFont"/>
    <w:uiPriority w:val="99"/>
    <w:semiHidden/>
    <w:rsid w:val="00F774A4"/>
    <w:rPr>
      <w:rFonts w:ascii="Lucida Grande" w:hAnsi="Lucida Grande"/>
      <w:sz w:val="18"/>
      <w:szCs w:val="18"/>
    </w:rPr>
  </w:style>
  <w:style w:type="character" w:customStyle="1" w:styleId="Heading5Char">
    <w:name w:val="Heading 5 Char"/>
    <w:basedOn w:val="DefaultParagraphFont"/>
    <w:link w:val="Heading5"/>
    <w:rsid w:val="006019C2"/>
    <w:rPr>
      <w:rFonts w:ascii="Times New Roman" w:eastAsia="Times New Roman" w:hAnsi="Times New Roman"/>
      <w:b/>
      <w:bCs/>
      <w:i/>
      <w:iCs/>
      <w:szCs w:val="26"/>
      <w:lang w:val="es-NI" w:eastAsia="es-ES"/>
    </w:rPr>
  </w:style>
  <w:style w:type="paragraph" w:customStyle="1" w:styleId="Heading1-2">
    <w:name w:val="Heading 1-2"/>
    <w:basedOn w:val="Normal"/>
    <w:qFormat/>
    <w:rsid w:val="006019C2"/>
    <w:pPr>
      <w:tabs>
        <w:tab w:val="center" w:pos="4320"/>
        <w:tab w:val="right" w:pos="8640"/>
      </w:tabs>
      <w:spacing w:after="0"/>
    </w:pPr>
    <w:rPr>
      <w:rFonts w:ascii="Times New Roman" w:hAnsi="Times New Roman"/>
      <w:b/>
    </w:rPr>
  </w:style>
  <w:style w:type="character" w:customStyle="1" w:styleId="BalloonTextChar1">
    <w:name w:val="Balloon Text Char1"/>
    <w:basedOn w:val="DefaultParagraphFont"/>
    <w:link w:val="BalloonText"/>
    <w:semiHidden/>
    <w:rsid w:val="002B1F09"/>
    <w:rPr>
      <w:rFonts w:ascii="Tahoma" w:eastAsia="Times New Roman" w:hAnsi="Tahoma" w:cs="Lucida Grande"/>
      <w:sz w:val="16"/>
      <w:szCs w:val="16"/>
    </w:rPr>
  </w:style>
  <w:style w:type="paragraph" w:styleId="FootnoteText">
    <w:name w:val="footnote text"/>
    <w:aliases w:val="Texto nota pie Car,+ 10 pt Car,+ 10 pt,Nota a pie/Bibliog"/>
    <w:basedOn w:val="Normal"/>
    <w:link w:val="FootnoteTextChar"/>
    <w:rsid w:val="002B1F09"/>
    <w:pPr>
      <w:spacing w:after="0"/>
    </w:pPr>
    <w:rPr>
      <w:rFonts w:ascii="Times New Roman" w:hAnsi="Times New Roman"/>
      <w:sz w:val="20"/>
      <w:szCs w:val="20"/>
      <w:lang w:eastAsia="es-ES"/>
    </w:rPr>
  </w:style>
  <w:style w:type="character" w:customStyle="1" w:styleId="FootnoteTextChar">
    <w:name w:val="Footnote Text Char"/>
    <w:aliases w:val="Texto nota pie Car Char,+ 10 pt Car Char,+ 10 pt Char,Nota a pie/Bibliog Char"/>
    <w:basedOn w:val="DefaultParagraphFont"/>
    <w:link w:val="FootnoteText"/>
    <w:rsid w:val="002B1F09"/>
    <w:rPr>
      <w:rFonts w:ascii="Times New Roman" w:eastAsia="Times New Roman" w:hAnsi="Times New Roman" w:cs="Times New Roman"/>
      <w:lang w:eastAsia="es-ES"/>
    </w:rPr>
  </w:style>
  <w:style w:type="character" w:styleId="FootnoteReference">
    <w:name w:val="footnote reference"/>
    <w:basedOn w:val="DefaultParagraphFont"/>
    <w:rsid w:val="002B1F09"/>
    <w:rPr>
      <w:rFonts w:cs="Times New Roman"/>
      <w:vertAlign w:val="superscript"/>
    </w:rPr>
  </w:style>
  <w:style w:type="paragraph" w:styleId="Footer">
    <w:name w:val="footer"/>
    <w:basedOn w:val="Normal"/>
    <w:link w:val="FooterChar"/>
    <w:unhideWhenUsed/>
    <w:rsid w:val="002B1F09"/>
    <w:pPr>
      <w:tabs>
        <w:tab w:val="center" w:pos="4320"/>
        <w:tab w:val="right" w:pos="8640"/>
      </w:tabs>
      <w:spacing w:after="0"/>
    </w:pPr>
  </w:style>
  <w:style w:type="character" w:customStyle="1" w:styleId="FooterChar">
    <w:name w:val="Footer Char"/>
    <w:basedOn w:val="DefaultParagraphFont"/>
    <w:link w:val="Footer"/>
    <w:rsid w:val="002B1F09"/>
    <w:rPr>
      <w:rFonts w:ascii="Cambria" w:eastAsia="Times New Roman" w:hAnsi="Cambria" w:cs="Times New Roman"/>
      <w:sz w:val="24"/>
      <w:szCs w:val="24"/>
    </w:rPr>
  </w:style>
  <w:style w:type="paragraph" w:styleId="EndnoteText">
    <w:name w:val="endnote text"/>
    <w:basedOn w:val="Normal"/>
    <w:link w:val="EndnoteTextChar"/>
    <w:semiHidden/>
    <w:rsid w:val="002B1F09"/>
    <w:pPr>
      <w:spacing w:after="0"/>
    </w:pPr>
    <w:rPr>
      <w:rFonts w:ascii="Times New Roman" w:hAnsi="Times New Roman"/>
      <w:sz w:val="20"/>
      <w:szCs w:val="20"/>
    </w:rPr>
  </w:style>
  <w:style w:type="character" w:customStyle="1" w:styleId="EndnoteTextChar">
    <w:name w:val="Endnote Text Char"/>
    <w:basedOn w:val="DefaultParagraphFont"/>
    <w:link w:val="EndnoteText"/>
    <w:semiHidden/>
    <w:rsid w:val="002B1F09"/>
    <w:rPr>
      <w:rFonts w:ascii="Times New Roman" w:eastAsia="Times New Roman" w:hAnsi="Times New Roman" w:cs="Times New Roman"/>
    </w:rPr>
  </w:style>
  <w:style w:type="character" w:styleId="EndnoteReference">
    <w:name w:val="endnote reference"/>
    <w:basedOn w:val="DefaultParagraphFont"/>
    <w:rsid w:val="002B1F09"/>
    <w:rPr>
      <w:rFonts w:cs="Times New Roman"/>
      <w:vertAlign w:val="superscript"/>
    </w:rPr>
  </w:style>
  <w:style w:type="paragraph" w:customStyle="1" w:styleId="ColorfulList-Accent11">
    <w:name w:val="Colorful List - Accent 11"/>
    <w:basedOn w:val="Normal"/>
    <w:qFormat/>
    <w:rsid w:val="002B1F09"/>
    <w:pPr>
      <w:ind w:left="720"/>
      <w:contextualSpacing/>
    </w:pPr>
  </w:style>
  <w:style w:type="character" w:styleId="Hyperlink">
    <w:name w:val="Hyperlink"/>
    <w:basedOn w:val="DefaultParagraphFont"/>
    <w:rsid w:val="002B1F09"/>
    <w:rPr>
      <w:rFonts w:cs="Times New Roman"/>
      <w:color w:val="0000FF"/>
      <w:u w:val="single"/>
    </w:rPr>
  </w:style>
  <w:style w:type="paragraph" w:styleId="CommentText">
    <w:name w:val="annotation text"/>
    <w:basedOn w:val="Normal"/>
    <w:link w:val="CommentTextChar"/>
    <w:semiHidden/>
    <w:rsid w:val="002B1F09"/>
    <w:rPr>
      <w:sz w:val="20"/>
      <w:szCs w:val="20"/>
    </w:rPr>
  </w:style>
  <w:style w:type="character" w:customStyle="1" w:styleId="CommentTextChar">
    <w:name w:val="Comment Text Char"/>
    <w:basedOn w:val="DefaultParagraphFont"/>
    <w:link w:val="CommentText"/>
    <w:semiHidden/>
    <w:rsid w:val="002B1F09"/>
    <w:rPr>
      <w:rFonts w:ascii="Cambria" w:eastAsia="Times New Roman" w:hAnsi="Cambria" w:cs="Times New Roman"/>
    </w:rPr>
  </w:style>
  <w:style w:type="paragraph" w:styleId="CommentSubject">
    <w:name w:val="annotation subject"/>
    <w:basedOn w:val="CommentText"/>
    <w:next w:val="CommentText"/>
    <w:link w:val="CommentSubjectChar"/>
    <w:semiHidden/>
    <w:rsid w:val="002B1F09"/>
    <w:rPr>
      <w:b/>
      <w:bCs/>
    </w:rPr>
  </w:style>
  <w:style w:type="character" w:customStyle="1" w:styleId="CommentSubjectChar">
    <w:name w:val="Comment Subject Char"/>
    <w:basedOn w:val="CommentTextChar"/>
    <w:link w:val="CommentSubject"/>
    <w:semiHidden/>
    <w:rsid w:val="002B1F09"/>
    <w:rPr>
      <w:rFonts w:ascii="Cambria" w:eastAsia="Times New Roman" w:hAnsi="Cambria" w:cs="Times New Roman"/>
      <w:b/>
      <w:bCs/>
    </w:rPr>
  </w:style>
  <w:style w:type="paragraph" w:customStyle="1" w:styleId="References">
    <w:name w:val="References"/>
    <w:basedOn w:val="Normal"/>
    <w:rsid w:val="002B1F09"/>
    <w:pPr>
      <w:spacing w:after="0"/>
      <w:ind w:left="720" w:hanging="720"/>
    </w:pPr>
    <w:rPr>
      <w:rFonts w:ascii="Garamond" w:hAnsi="Garamond"/>
    </w:rPr>
  </w:style>
  <w:style w:type="character" w:customStyle="1" w:styleId="ReferencesChar">
    <w:name w:val="References Char"/>
    <w:basedOn w:val="DefaultParagraphFont"/>
    <w:locked/>
    <w:rsid w:val="002B1F09"/>
    <w:rPr>
      <w:rFonts w:ascii="Garamond" w:hAnsi="Garamond" w:cs="Times New Roman"/>
      <w:sz w:val="24"/>
      <w:szCs w:val="24"/>
    </w:rPr>
  </w:style>
  <w:style w:type="paragraph" w:styleId="Header">
    <w:name w:val="header"/>
    <w:basedOn w:val="Normal"/>
    <w:link w:val="HeaderChar"/>
    <w:rsid w:val="002B1F09"/>
    <w:pPr>
      <w:tabs>
        <w:tab w:val="center" w:pos="4320"/>
        <w:tab w:val="right" w:pos="8640"/>
      </w:tabs>
    </w:pPr>
  </w:style>
  <w:style w:type="character" w:customStyle="1" w:styleId="HeaderChar">
    <w:name w:val="Header Char"/>
    <w:basedOn w:val="DefaultParagraphFont"/>
    <w:link w:val="Header"/>
    <w:rsid w:val="002B1F09"/>
    <w:rPr>
      <w:rFonts w:ascii="Cambria" w:eastAsia="Times New Roman" w:hAnsi="Cambria" w:cs="Times New Roman"/>
      <w:sz w:val="24"/>
      <w:szCs w:val="24"/>
    </w:rPr>
  </w:style>
  <w:style w:type="character" w:styleId="Emphasis">
    <w:name w:val="Emphasis"/>
    <w:basedOn w:val="DefaultParagraphFont"/>
    <w:uiPriority w:val="20"/>
    <w:qFormat/>
    <w:rsid w:val="002B1F09"/>
    <w:rPr>
      <w:rFonts w:cs="Times New Roman"/>
      <w:i/>
      <w:iCs/>
    </w:rPr>
  </w:style>
  <w:style w:type="character" w:styleId="PageNumber">
    <w:name w:val="page number"/>
    <w:basedOn w:val="DefaultParagraphFont"/>
    <w:semiHidden/>
    <w:unhideWhenUsed/>
    <w:rsid w:val="005D544D"/>
  </w:style>
  <w:style w:type="character" w:styleId="CommentReference">
    <w:name w:val="annotation reference"/>
    <w:basedOn w:val="DefaultParagraphFont"/>
    <w:semiHidden/>
    <w:unhideWhenUsed/>
    <w:rsid w:val="00082A3D"/>
    <w:rPr>
      <w:sz w:val="18"/>
      <w:szCs w:val="18"/>
    </w:rPr>
  </w:style>
  <w:style w:type="character" w:customStyle="1" w:styleId="Heading1Char">
    <w:name w:val="Heading 1 Char"/>
    <w:basedOn w:val="DefaultParagraphFont"/>
    <w:link w:val="Heading1"/>
    <w:uiPriority w:val="9"/>
    <w:rsid w:val="006879E1"/>
    <w:rPr>
      <w:rFonts w:asciiTheme="majorHAnsi" w:eastAsiaTheme="majorEastAsia" w:hAnsiTheme="majorHAnsi" w:cstheme="majorBidi"/>
      <w:b/>
      <w:bCs/>
      <w:color w:val="345A8A" w:themeColor="accent1" w:themeShade="B5"/>
      <w:sz w:val="32"/>
      <w:szCs w:val="32"/>
    </w:rPr>
  </w:style>
  <w:style w:type="character" w:customStyle="1" w:styleId="subtitle1">
    <w:name w:val="subtitle1"/>
    <w:basedOn w:val="DefaultParagraphFont"/>
    <w:rsid w:val="006879E1"/>
  </w:style>
  <w:style w:type="paragraph" w:styleId="Subtitle">
    <w:name w:val="Subtitle"/>
    <w:basedOn w:val="Normal"/>
    <w:link w:val="SubtitleChar"/>
    <w:qFormat/>
    <w:rsid w:val="00C36344"/>
    <w:pPr>
      <w:spacing w:after="0"/>
      <w:jc w:val="center"/>
    </w:pPr>
    <w:rPr>
      <w:rFonts w:ascii="Times New Roman" w:hAnsi="Times New Roman"/>
      <w:b/>
      <w:sz w:val="22"/>
      <w:szCs w:val="20"/>
    </w:rPr>
  </w:style>
  <w:style w:type="character" w:customStyle="1" w:styleId="SubtitleChar">
    <w:name w:val="Subtitle Char"/>
    <w:basedOn w:val="DefaultParagraphFont"/>
    <w:link w:val="Subtitle"/>
    <w:rsid w:val="00C36344"/>
    <w:rPr>
      <w:rFonts w:ascii="Times New Roman" w:eastAsia="Times New Roman" w:hAnsi="Times New Roman" w:cs="Times New Roman"/>
      <w:b/>
      <w:sz w:val="22"/>
    </w:rPr>
  </w:style>
  <w:style w:type="character" w:styleId="FollowedHyperlink">
    <w:name w:val="FollowedHyperlink"/>
    <w:basedOn w:val="DefaultParagraphFont"/>
    <w:uiPriority w:val="99"/>
    <w:semiHidden/>
    <w:unhideWhenUsed/>
    <w:rsid w:val="002E3584"/>
    <w:rPr>
      <w:color w:val="800080" w:themeColor="followedHyperlink"/>
      <w:u w:val="single"/>
    </w:rPr>
  </w:style>
  <w:style w:type="character" w:customStyle="1" w:styleId="idnt">
    <w:name w:val="idnt"/>
    <w:basedOn w:val="DefaultParagraphFont"/>
    <w:rsid w:val="001521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09"/>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6879E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autoRedefine/>
    <w:qFormat/>
    <w:rsid w:val="006019C2"/>
    <w:pPr>
      <w:spacing w:before="240" w:after="60"/>
      <w:outlineLvl w:val="4"/>
    </w:pPr>
    <w:rPr>
      <w:rFonts w:ascii="Times New Roman" w:hAnsi="Times New Roman"/>
      <w:b/>
      <w:bCs/>
      <w:i/>
      <w:iCs/>
      <w:sz w:val="20"/>
      <w:szCs w:val="26"/>
      <w:lang w:val="es-NI"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2B1F09"/>
    <w:rPr>
      <w:rFonts w:ascii="Tahoma" w:hAnsi="Tahoma" w:cs="Lucida Grande"/>
      <w:sz w:val="16"/>
      <w:szCs w:val="16"/>
    </w:rPr>
  </w:style>
  <w:style w:type="character" w:customStyle="1" w:styleId="BalloonTextChar">
    <w:name w:val="Balloon Text Char"/>
    <w:basedOn w:val="DefaultParagraphFont"/>
    <w:uiPriority w:val="99"/>
    <w:semiHidden/>
    <w:rsid w:val="00970C26"/>
    <w:rPr>
      <w:rFonts w:ascii="Lucida Grande" w:hAnsi="Lucida Grande"/>
      <w:sz w:val="18"/>
      <w:szCs w:val="18"/>
    </w:rPr>
  </w:style>
  <w:style w:type="character" w:customStyle="1" w:styleId="BalloonTextChar0">
    <w:name w:val="Balloon Text Char"/>
    <w:basedOn w:val="DefaultParagraphFont"/>
    <w:uiPriority w:val="99"/>
    <w:semiHidden/>
    <w:rsid w:val="00970C26"/>
    <w:rPr>
      <w:rFonts w:ascii="Lucida Grande" w:hAnsi="Lucida Grande"/>
      <w:sz w:val="18"/>
      <w:szCs w:val="18"/>
    </w:rPr>
  </w:style>
  <w:style w:type="character" w:customStyle="1" w:styleId="BalloonTextChar2">
    <w:name w:val="Balloon Text Char"/>
    <w:basedOn w:val="DefaultParagraphFont"/>
    <w:uiPriority w:val="99"/>
    <w:semiHidden/>
    <w:rsid w:val="00970C26"/>
    <w:rPr>
      <w:rFonts w:ascii="Lucida Grande" w:hAnsi="Lucida Grande"/>
      <w:sz w:val="18"/>
      <w:szCs w:val="18"/>
    </w:rPr>
  </w:style>
  <w:style w:type="character" w:customStyle="1" w:styleId="BalloonTextChar3">
    <w:name w:val="Balloon Text Char"/>
    <w:basedOn w:val="DefaultParagraphFont"/>
    <w:uiPriority w:val="99"/>
    <w:semiHidden/>
    <w:rsid w:val="00AE7859"/>
    <w:rPr>
      <w:rFonts w:ascii="Lucida Grande" w:hAnsi="Lucida Grande"/>
      <w:sz w:val="18"/>
      <w:szCs w:val="18"/>
    </w:rPr>
  </w:style>
  <w:style w:type="character" w:customStyle="1" w:styleId="BalloonTextChar4">
    <w:name w:val="Balloon Text Char"/>
    <w:basedOn w:val="DefaultParagraphFont"/>
    <w:uiPriority w:val="99"/>
    <w:semiHidden/>
    <w:rsid w:val="00062921"/>
    <w:rPr>
      <w:rFonts w:ascii="Lucida Grande" w:hAnsi="Lucida Grande"/>
      <w:sz w:val="18"/>
      <w:szCs w:val="18"/>
    </w:rPr>
  </w:style>
  <w:style w:type="character" w:customStyle="1" w:styleId="BalloonTextChar5">
    <w:name w:val="Balloon Text Char"/>
    <w:basedOn w:val="DefaultParagraphFont"/>
    <w:uiPriority w:val="99"/>
    <w:semiHidden/>
    <w:rsid w:val="00B655C5"/>
    <w:rPr>
      <w:rFonts w:ascii="Lucida Grande" w:hAnsi="Lucida Grande"/>
      <w:sz w:val="18"/>
      <w:szCs w:val="18"/>
    </w:rPr>
  </w:style>
  <w:style w:type="character" w:customStyle="1" w:styleId="BalloonTextChar6">
    <w:name w:val="Balloon Text Char"/>
    <w:basedOn w:val="DefaultParagraphFont"/>
    <w:uiPriority w:val="99"/>
    <w:semiHidden/>
    <w:rsid w:val="00303F7B"/>
    <w:rPr>
      <w:rFonts w:ascii="Lucida Grande" w:hAnsi="Lucida Grande"/>
      <w:sz w:val="18"/>
      <w:szCs w:val="18"/>
    </w:rPr>
  </w:style>
  <w:style w:type="character" w:customStyle="1" w:styleId="BalloonTextChar7">
    <w:name w:val="Balloon Text Char"/>
    <w:basedOn w:val="DefaultParagraphFont"/>
    <w:uiPriority w:val="99"/>
    <w:semiHidden/>
    <w:rsid w:val="002765E6"/>
    <w:rPr>
      <w:rFonts w:ascii="Lucida Grande" w:hAnsi="Lucida Grande"/>
      <w:sz w:val="18"/>
      <w:szCs w:val="18"/>
    </w:rPr>
  </w:style>
  <w:style w:type="character" w:customStyle="1" w:styleId="BalloonTextChar8">
    <w:name w:val="Balloon Text Char"/>
    <w:basedOn w:val="DefaultParagraphFont"/>
    <w:uiPriority w:val="99"/>
    <w:semiHidden/>
    <w:rsid w:val="00F774A4"/>
    <w:rPr>
      <w:rFonts w:ascii="Lucida Grande" w:hAnsi="Lucida Grande"/>
      <w:sz w:val="18"/>
      <w:szCs w:val="18"/>
    </w:rPr>
  </w:style>
  <w:style w:type="character" w:customStyle="1" w:styleId="BalloonTextChar9">
    <w:name w:val="Balloon Text Char"/>
    <w:basedOn w:val="DefaultParagraphFont"/>
    <w:uiPriority w:val="99"/>
    <w:semiHidden/>
    <w:rsid w:val="00F774A4"/>
    <w:rPr>
      <w:rFonts w:ascii="Lucida Grande" w:hAnsi="Lucida Grande"/>
      <w:sz w:val="18"/>
      <w:szCs w:val="18"/>
    </w:rPr>
  </w:style>
  <w:style w:type="character" w:customStyle="1" w:styleId="Heading5Char">
    <w:name w:val="Heading 5 Char"/>
    <w:basedOn w:val="DefaultParagraphFont"/>
    <w:link w:val="Heading5"/>
    <w:rsid w:val="006019C2"/>
    <w:rPr>
      <w:rFonts w:ascii="Times New Roman" w:eastAsia="Times New Roman" w:hAnsi="Times New Roman"/>
      <w:b/>
      <w:bCs/>
      <w:i/>
      <w:iCs/>
      <w:szCs w:val="26"/>
      <w:lang w:val="es-NI" w:eastAsia="es-ES"/>
    </w:rPr>
  </w:style>
  <w:style w:type="paragraph" w:customStyle="1" w:styleId="Heading1-2">
    <w:name w:val="Heading 1-2"/>
    <w:basedOn w:val="Normal"/>
    <w:qFormat/>
    <w:rsid w:val="006019C2"/>
    <w:pPr>
      <w:tabs>
        <w:tab w:val="center" w:pos="4320"/>
        <w:tab w:val="right" w:pos="8640"/>
      </w:tabs>
      <w:spacing w:after="0"/>
    </w:pPr>
    <w:rPr>
      <w:rFonts w:ascii="Times New Roman" w:hAnsi="Times New Roman"/>
      <w:b/>
    </w:rPr>
  </w:style>
  <w:style w:type="character" w:customStyle="1" w:styleId="BalloonTextChar1">
    <w:name w:val="Balloon Text Char1"/>
    <w:basedOn w:val="DefaultParagraphFont"/>
    <w:link w:val="BalloonText"/>
    <w:semiHidden/>
    <w:rsid w:val="002B1F09"/>
    <w:rPr>
      <w:rFonts w:ascii="Tahoma" w:eastAsia="Times New Roman" w:hAnsi="Tahoma" w:cs="Lucida Grande"/>
      <w:sz w:val="16"/>
      <w:szCs w:val="16"/>
    </w:rPr>
  </w:style>
  <w:style w:type="paragraph" w:styleId="FootnoteText">
    <w:name w:val="footnote text"/>
    <w:aliases w:val="Texto nota pie Car,+ 10 pt Car,+ 10 pt,Nota a pie/Bibliog"/>
    <w:basedOn w:val="Normal"/>
    <w:link w:val="FootnoteTextChar"/>
    <w:rsid w:val="002B1F09"/>
    <w:pPr>
      <w:spacing w:after="0"/>
    </w:pPr>
    <w:rPr>
      <w:rFonts w:ascii="Times New Roman" w:hAnsi="Times New Roman"/>
      <w:sz w:val="20"/>
      <w:szCs w:val="20"/>
      <w:lang w:eastAsia="es-ES"/>
    </w:rPr>
  </w:style>
  <w:style w:type="character" w:customStyle="1" w:styleId="FootnoteTextChar">
    <w:name w:val="Footnote Text Char"/>
    <w:aliases w:val="Texto nota pie Car Char,+ 10 pt Car Char,+ 10 pt Char,Nota a pie/Bibliog Char"/>
    <w:basedOn w:val="DefaultParagraphFont"/>
    <w:link w:val="FootnoteText"/>
    <w:rsid w:val="002B1F09"/>
    <w:rPr>
      <w:rFonts w:ascii="Times New Roman" w:eastAsia="Times New Roman" w:hAnsi="Times New Roman" w:cs="Times New Roman"/>
      <w:lang w:eastAsia="es-ES"/>
    </w:rPr>
  </w:style>
  <w:style w:type="character" w:styleId="FootnoteReference">
    <w:name w:val="footnote reference"/>
    <w:basedOn w:val="DefaultParagraphFont"/>
    <w:rsid w:val="002B1F09"/>
    <w:rPr>
      <w:rFonts w:cs="Times New Roman"/>
      <w:vertAlign w:val="superscript"/>
    </w:rPr>
  </w:style>
  <w:style w:type="paragraph" w:styleId="Footer">
    <w:name w:val="footer"/>
    <w:basedOn w:val="Normal"/>
    <w:link w:val="FooterChar"/>
    <w:unhideWhenUsed/>
    <w:rsid w:val="002B1F09"/>
    <w:pPr>
      <w:tabs>
        <w:tab w:val="center" w:pos="4320"/>
        <w:tab w:val="right" w:pos="8640"/>
      </w:tabs>
      <w:spacing w:after="0"/>
    </w:pPr>
  </w:style>
  <w:style w:type="character" w:customStyle="1" w:styleId="FooterChar">
    <w:name w:val="Footer Char"/>
    <w:basedOn w:val="DefaultParagraphFont"/>
    <w:link w:val="Footer"/>
    <w:rsid w:val="002B1F09"/>
    <w:rPr>
      <w:rFonts w:ascii="Cambria" w:eastAsia="Times New Roman" w:hAnsi="Cambria" w:cs="Times New Roman"/>
      <w:sz w:val="24"/>
      <w:szCs w:val="24"/>
    </w:rPr>
  </w:style>
  <w:style w:type="paragraph" w:styleId="EndnoteText">
    <w:name w:val="endnote text"/>
    <w:basedOn w:val="Normal"/>
    <w:link w:val="EndnoteTextChar"/>
    <w:semiHidden/>
    <w:rsid w:val="002B1F09"/>
    <w:pPr>
      <w:spacing w:after="0"/>
    </w:pPr>
    <w:rPr>
      <w:rFonts w:ascii="Times New Roman" w:hAnsi="Times New Roman"/>
      <w:sz w:val="20"/>
      <w:szCs w:val="20"/>
    </w:rPr>
  </w:style>
  <w:style w:type="character" w:customStyle="1" w:styleId="EndnoteTextChar">
    <w:name w:val="Endnote Text Char"/>
    <w:basedOn w:val="DefaultParagraphFont"/>
    <w:link w:val="EndnoteText"/>
    <w:semiHidden/>
    <w:rsid w:val="002B1F09"/>
    <w:rPr>
      <w:rFonts w:ascii="Times New Roman" w:eastAsia="Times New Roman" w:hAnsi="Times New Roman" w:cs="Times New Roman"/>
    </w:rPr>
  </w:style>
  <w:style w:type="character" w:styleId="EndnoteReference">
    <w:name w:val="endnote reference"/>
    <w:basedOn w:val="DefaultParagraphFont"/>
    <w:rsid w:val="002B1F09"/>
    <w:rPr>
      <w:rFonts w:cs="Times New Roman"/>
      <w:vertAlign w:val="superscript"/>
    </w:rPr>
  </w:style>
  <w:style w:type="paragraph" w:customStyle="1" w:styleId="ColorfulList-Accent11">
    <w:name w:val="Colorful List - Accent 11"/>
    <w:basedOn w:val="Normal"/>
    <w:qFormat/>
    <w:rsid w:val="002B1F09"/>
    <w:pPr>
      <w:ind w:left="720"/>
      <w:contextualSpacing/>
    </w:pPr>
  </w:style>
  <w:style w:type="character" w:styleId="Hyperlink">
    <w:name w:val="Hyperlink"/>
    <w:basedOn w:val="DefaultParagraphFont"/>
    <w:rsid w:val="002B1F09"/>
    <w:rPr>
      <w:rFonts w:cs="Times New Roman"/>
      <w:color w:val="0000FF"/>
      <w:u w:val="single"/>
    </w:rPr>
  </w:style>
  <w:style w:type="paragraph" w:styleId="CommentText">
    <w:name w:val="annotation text"/>
    <w:basedOn w:val="Normal"/>
    <w:link w:val="CommentTextChar"/>
    <w:semiHidden/>
    <w:rsid w:val="002B1F09"/>
    <w:rPr>
      <w:sz w:val="20"/>
      <w:szCs w:val="20"/>
    </w:rPr>
  </w:style>
  <w:style w:type="character" w:customStyle="1" w:styleId="CommentTextChar">
    <w:name w:val="Comment Text Char"/>
    <w:basedOn w:val="DefaultParagraphFont"/>
    <w:link w:val="CommentText"/>
    <w:semiHidden/>
    <w:rsid w:val="002B1F09"/>
    <w:rPr>
      <w:rFonts w:ascii="Cambria" w:eastAsia="Times New Roman" w:hAnsi="Cambria" w:cs="Times New Roman"/>
    </w:rPr>
  </w:style>
  <w:style w:type="paragraph" w:styleId="CommentSubject">
    <w:name w:val="annotation subject"/>
    <w:basedOn w:val="CommentText"/>
    <w:next w:val="CommentText"/>
    <w:link w:val="CommentSubjectChar"/>
    <w:semiHidden/>
    <w:rsid w:val="002B1F09"/>
    <w:rPr>
      <w:b/>
      <w:bCs/>
    </w:rPr>
  </w:style>
  <w:style w:type="character" w:customStyle="1" w:styleId="CommentSubjectChar">
    <w:name w:val="Comment Subject Char"/>
    <w:basedOn w:val="CommentTextChar"/>
    <w:link w:val="CommentSubject"/>
    <w:semiHidden/>
    <w:rsid w:val="002B1F09"/>
    <w:rPr>
      <w:rFonts w:ascii="Cambria" w:eastAsia="Times New Roman" w:hAnsi="Cambria" w:cs="Times New Roman"/>
      <w:b/>
      <w:bCs/>
    </w:rPr>
  </w:style>
  <w:style w:type="paragraph" w:customStyle="1" w:styleId="References">
    <w:name w:val="References"/>
    <w:basedOn w:val="Normal"/>
    <w:rsid w:val="002B1F09"/>
    <w:pPr>
      <w:spacing w:after="0"/>
      <w:ind w:left="720" w:hanging="720"/>
    </w:pPr>
    <w:rPr>
      <w:rFonts w:ascii="Garamond" w:hAnsi="Garamond"/>
    </w:rPr>
  </w:style>
  <w:style w:type="character" w:customStyle="1" w:styleId="ReferencesChar">
    <w:name w:val="References Char"/>
    <w:basedOn w:val="DefaultParagraphFont"/>
    <w:locked/>
    <w:rsid w:val="002B1F09"/>
    <w:rPr>
      <w:rFonts w:ascii="Garamond" w:hAnsi="Garamond" w:cs="Times New Roman"/>
      <w:sz w:val="24"/>
      <w:szCs w:val="24"/>
    </w:rPr>
  </w:style>
  <w:style w:type="paragraph" w:styleId="Header">
    <w:name w:val="header"/>
    <w:basedOn w:val="Normal"/>
    <w:link w:val="HeaderChar"/>
    <w:rsid w:val="002B1F09"/>
    <w:pPr>
      <w:tabs>
        <w:tab w:val="center" w:pos="4320"/>
        <w:tab w:val="right" w:pos="8640"/>
      </w:tabs>
    </w:pPr>
  </w:style>
  <w:style w:type="character" w:customStyle="1" w:styleId="HeaderChar">
    <w:name w:val="Header Char"/>
    <w:basedOn w:val="DefaultParagraphFont"/>
    <w:link w:val="Header"/>
    <w:rsid w:val="002B1F09"/>
    <w:rPr>
      <w:rFonts w:ascii="Cambria" w:eastAsia="Times New Roman" w:hAnsi="Cambria" w:cs="Times New Roman"/>
      <w:sz w:val="24"/>
      <w:szCs w:val="24"/>
    </w:rPr>
  </w:style>
  <w:style w:type="character" w:styleId="Emphasis">
    <w:name w:val="Emphasis"/>
    <w:basedOn w:val="DefaultParagraphFont"/>
    <w:uiPriority w:val="20"/>
    <w:qFormat/>
    <w:rsid w:val="002B1F09"/>
    <w:rPr>
      <w:rFonts w:cs="Times New Roman"/>
      <w:i/>
      <w:iCs/>
    </w:rPr>
  </w:style>
  <w:style w:type="character" w:styleId="PageNumber">
    <w:name w:val="page number"/>
    <w:basedOn w:val="DefaultParagraphFont"/>
    <w:semiHidden/>
    <w:unhideWhenUsed/>
    <w:rsid w:val="005D544D"/>
  </w:style>
  <w:style w:type="character" w:styleId="CommentReference">
    <w:name w:val="annotation reference"/>
    <w:basedOn w:val="DefaultParagraphFont"/>
    <w:semiHidden/>
    <w:unhideWhenUsed/>
    <w:rsid w:val="00082A3D"/>
    <w:rPr>
      <w:sz w:val="18"/>
      <w:szCs w:val="18"/>
    </w:rPr>
  </w:style>
  <w:style w:type="character" w:customStyle="1" w:styleId="Heading1Char">
    <w:name w:val="Heading 1 Char"/>
    <w:basedOn w:val="DefaultParagraphFont"/>
    <w:link w:val="Heading1"/>
    <w:uiPriority w:val="9"/>
    <w:rsid w:val="006879E1"/>
    <w:rPr>
      <w:rFonts w:asciiTheme="majorHAnsi" w:eastAsiaTheme="majorEastAsia" w:hAnsiTheme="majorHAnsi" w:cstheme="majorBidi"/>
      <w:b/>
      <w:bCs/>
      <w:color w:val="345A8A" w:themeColor="accent1" w:themeShade="B5"/>
      <w:sz w:val="32"/>
      <w:szCs w:val="32"/>
    </w:rPr>
  </w:style>
  <w:style w:type="character" w:customStyle="1" w:styleId="subtitle1">
    <w:name w:val="subtitle1"/>
    <w:basedOn w:val="DefaultParagraphFont"/>
    <w:rsid w:val="006879E1"/>
  </w:style>
  <w:style w:type="paragraph" w:styleId="Subtitle">
    <w:name w:val="Subtitle"/>
    <w:basedOn w:val="Normal"/>
    <w:link w:val="SubtitleChar"/>
    <w:qFormat/>
    <w:rsid w:val="00C36344"/>
    <w:pPr>
      <w:spacing w:after="0"/>
      <w:jc w:val="center"/>
    </w:pPr>
    <w:rPr>
      <w:rFonts w:ascii="Times New Roman" w:hAnsi="Times New Roman"/>
      <w:b/>
      <w:sz w:val="22"/>
      <w:szCs w:val="20"/>
    </w:rPr>
  </w:style>
  <w:style w:type="character" w:customStyle="1" w:styleId="SubtitleChar">
    <w:name w:val="Subtitle Char"/>
    <w:basedOn w:val="DefaultParagraphFont"/>
    <w:link w:val="Subtitle"/>
    <w:rsid w:val="00C36344"/>
    <w:rPr>
      <w:rFonts w:ascii="Times New Roman" w:eastAsia="Times New Roman" w:hAnsi="Times New Roman" w:cs="Times New Roman"/>
      <w:b/>
      <w:sz w:val="22"/>
    </w:rPr>
  </w:style>
  <w:style w:type="character" w:styleId="FollowedHyperlink">
    <w:name w:val="FollowedHyperlink"/>
    <w:basedOn w:val="DefaultParagraphFont"/>
    <w:uiPriority w:val="99"/>
    <w:semiHidden/>
    <w:unhideWhenUsed/>
    <w:rsid w:val="002E3584"/>
    <w:rPr>
      <w:color w:val="800080" w:themeColor="followedHyperlink"/>
      <w:u w:val="single"/>
    </w:rPr>
  </w:style>
  <w:style w:type="character" w:customStyle="1" w:styleId="idnt">
    <w:name w:val="idnt"/>
    <w:basedOn w:val="DefaultParagraphFont"/>
    <w:rsid w:val="00152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2820">
      <w:bodyDiv w:val="1"/>
      <w:marLeft w:val="0"/>
      <w:marRight w:val="0"/>
      <w:marTop w:val="0"/>
      <w:marBottom w:val="0"/>
      <w:divBdr>
        <w:top w:val="none" w:sz="0" w:space="0" w:color="auto"/>
        <w:left w:val="none" w:sz="0" w:space="0" w:color="auto"/>
        <w:bottom w:val="none" w:sz="0" w:space="0" w:color="auto"/>
        <w:right w:val="none" w:sz="0" w:space="0" w:color="auto"/>
      </w:divBdr>
      <w:divsChild>
        <w:div w:id="13553762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o.org/docrep/x0271e/x0271e03.ht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arson@cgiar.org" TargetMode="External"/><Relationship Id="rId9" Type="http://schemas.openxmlformats.org/officeDocument/2006/relationships/hyperlink" Target="mailto:pcronkleton@cgiar.org" TargetMode="External"/><Relationship Id="rId10" Type="http://schemas.openxmlformats.org/officeDocument/2006/relationships/hyperlink" Target="http://www.inec.gob.ni/censos2005/ResumenCensal/Resumen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10108</Words>
  <Characters>57617</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Larson</dc:creator>
  <cp:lastModifiedBy>Anne Larson</cp:lastModifiedBy>
  <cp:revision>2</cp:revision>
  <cp:lastPrinted>2010-08-06T19:48:00Z</cp:lastPrinted>
  <dcterms:created xsi:type="dcterms:W3CDTF">2013-03-28T19:24:00Z</dcterms:created>
  <dcterms:modified xsi:type="dcterms:W3CDTF">2013-03-28T19:24:00Z</dcterms:modified>
</cp:coreProperties>
</file>