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71D0E" w14:textId="77777777" w:rsidR="005C4EF3" w:rsidRPr="001D1CA1" w:rsidRDefault="005C4EF3" w:rsidP="009F4955">
      <w:pPr>
        <w:jc w:val="center"/>
        <w:rPr>
          <w:rFonts w:cs="Times New Roman"/>
          <w:b/>
          <w:smallCaps/>
          <w:sz w:val="26"/>
          <w:szCs w:val="26"/>
          <w:lang w:val="en-US"/>
        </w:rPr>
      </w:pPr>
      <w:bookmarkStart w:id="0" w:name="_GoBack"/>
      <w:bookmarkEnd w:id="0"/>
      <w:r w:rsidRPr="001D1CA1">
        <w:rPr>
          <w:rFonts w:cs="Times New Roman"/>
          <w:b/>
          <w:smallCaps/>
          <w:sz w:val="26"/>
          <w:szCs w:val="26"/>
          <w:lang w:val="en-US"/>
        </w:rPr>
        <w:t xml:space="preserve">Rights in a Changing Climate: </w:t>
      </w:r>
    </w:p>
    <w:p w14:paraId="77DE90BA" w14:textId="11D28AC4" w:rsidR="005C4EF3" w:rsidRPr="001D1CA1" w:rsidRDefault="005C4EF3" w:rsidP="009F4955">
      <w:pPr>
        <w:jc w:val="center"/>
        <w:rPr>
          <w:rFonts w:cs="Times New Roman"/>
          <w:b/>
          <w:smallCaps/>
          <w:sz w:val="26"/>
          <w:szCs w:val="26"/>
          <w:lang w:val="en-US"/>
        </w:rPr>
      </w:pPr>
      <w:r w:rsidRPr="001D1CA1">
        <w:rPr>
          <w:rFonts w:cs="Times New Roman"/>
          <w:b/>
          <w:smallCaps/>
          <w:sz w:val="26"/>
          <w:szCs w:val="26"/>
          <w:lang w:val="en-US"/>
        </w:rPr>
        <w:t>The Transnational REDD+ Readiness Phase and the Rights of Local and Indigenous Communities in Developing Countries</w:t>
      </w:r>
    </w:p>
    <w:p w14:paraId="306323EF" w14:textId="77777777" w:rsidR="005C4EF3" w:rsidRPr="001D1CA1" w:rsidRDefault="005C4EF3" w:rsidP="009F4955">
      <w:pPr>
        <w:jc w:val="center"/>
        <w:rPr>
          <w:rFonts w:cs="Times New Roman"/>
          <w:b/>
          <w:lang w:val="en-US"/>
        </w:rPr>
      </w:pPr>
    </w:p>
    <w:p w14:paraId="6666651C" w14:textId="77777777" w:rsidR="005C4EF3" w:rsidRPr="001D1CA1" w:rsidRDefault="005C4EF3" w:rsidP="009F4955">
      <w:pPr>
        <w:jc w:val="center"/>
        <w:rPr>
          <w:rFonts w:cs="Times New Roman"/>
        </w:rPr>
      </w:pPr>
      <w:r w:rsidRPr="001D1CA1">
        <w:rPr>
          <w:rFonts w:cs="Times New Roman"/>
          <w:lang w:val="en-US"/>
        </w:rPr>
        <w:t>Sébastien Jodoin</w:t>
      </w:r>
      <w:r w:rsidRPr="001D1CA1">
        <w:rPr>
          <w:rStyle w:val="FootnoteReference"/>
          <w:rFonts w:cs="Times New Roman"/>
          <w:lang w:val="en-US"/>
        </w:rPr>
        <w:footnoteReference w:customMarkFollows="1" w:id="1"/>
        <w:t>*</w:t>
      </w:r>
    </w:p>
    <w:p w14:paraId="0141C27C" w14:textId="77777777" w:rsidR="005C4EF3" w:rsidRPr="001D1CA1" w:rsidRDefault="005C4EF3" w:rsidP="009F4955">
      <w:pPr>
        <w:rPr>
          <w:rFonts w:cs="Times New Roman"/>
        </w:rPr>
      </w:pPr>
    </w:p>
    <w:p w14:paraId="52CEC452" w14:textId="377B1B0A" w:rsidR="005C4EF3" w:rsidRPr="007E0E9A" w:rsidRDefault="005C4EF3" w:rsidP="009F4955">
      <w:pPr>
        <w:rPr>
          <w:rFonts w:cs="Times New Roman"/>
          <w:b/>
          <w:i/>
          <w:lang w:val="en-US"/>
        </w:rPr>
      </w:pPr>
      <w:r w:rsidRPr="001D1CA1">
        <w:rPr>
          <w:rFonts w:cs="Times New Roman"/>
        </w:rPr>
        <w:t>[W</w:t>
      </w:r>
      <w:r w:rsidR="001D1CA1">
        <w:rPr>
          <w:rFonts w:cs="Times New Roman"/>
        </w:rPr>
        <w:t>ork in progress prepared for</w:t>
      </w:r>
      <w:r w:rsidR="007E0E9A">
        <w:rPr>
          <w:rFonts w:cs="Times New Roman"/>
          <w:lang w:val="en-US"/>
        </w:rPr>
        <w:t xml:space="preserve"> “</w:t>
      </w:r>
      <w:r w:rsidR="007E0E9A" w:rsidRPr="007E0E9A">
        <w:rPr>
          <w:rFonts w:cs="Times New Roman"/>
          <w:lang w:val="en-US"/>
        </w:rPr>
        <w:t>Rights in Environmental Governance: Explaining their Emergence, Examining their Effectiveness</w:t>
      </w:r>
      <w:r w:rsidR="007E0E9A">
        <w:rPr>
          <w:rFonts w:cs="Times New Roman"/>
          <w:lang w:val="en-US"/>
        </w:rPr>
        <w:t>,” Yale / UNITAR Workshop on Environmental Governance &amp; Democracy.</w:t>
      </w:r>
      <w:r w:rsidRPr="001D1CA1">
        <w:rPr>
          <w:rFonts w:cs="Times New Roman"/>
        </w:rPr>
        <w:t xml:space="preserve"> Please do not cite or quote without permission]</w:t>
      </w:r>
    </w:p>
    <w:p w14:paraId="72DB5424" w14:textId="77777777" w:rsidR="00D82069" w:rsidRPr="001D1CA1" w:rsidRDefault="00D82069" w:rsidP="009F4955"/>
    <w:p w14:paraId="1EDA34F3" w14:textId="6A0BBD39" w:rsidR="00814760" w:rsidRPr="001D1CA1" w:rsidRDefault="005C4EF3" w:rsidP="009F4955">
      <w:pPr>
        <w:pStyle w:val="Heading2"/>
        <w:rPr>
          <w:smallCaps w:val="0"/>
        </w:rPr>
      </w:pPr>
      <w:r w:rsidRPr="001D1CA1">
        <w:rPr>
          <w:smallCaps w:val="0"/>
        </w:rPr>
        <w:t>1. Introduction</w:t>
      </w:r>
    </w:p>
    <w:p w14:paraId="2ED4C34F" w14:textId="77777777" w:rsidR="007E56A0" w:rsidRPr="001D1CA1" w:rsidRDefault="007E56A0" w:rsidP="009F4955"/>
    <w:p w14:paraId="19F7EC9B" w14:textId="763ADDC6" w:rsidR="002A3EDF" w:rsidRPr="001D1CA1" w:rsidRDefault="00C53FF3" w:rsidP="009F4955">
      <w:pPr>
        <w:rPr>
          <w:bCs/>
        </w:rPr>
      </w:pPr>
      <w:r w:rsidRPr="001D1CA1">
        <w:t xml:space="preserve">In 2007, </w:t>
      </w:r>
      <w:r w:rsidR="00570C28" w:rsidRPr="001D1CA1">
        <w:t>the Conference of the Parties (COP)</w:t>
      </w:r>
      <w:r w:rsidRPr="001D1CA1">
        <w:t xml:space="preserve"> to the </w:t>
      </w:r>
      <w:r w:rsidRPr="001D1CA1">
        <w:rPr>
          <w:bCs/>
          <w:i/>
        </w:rPr>
        <w:t>United Nations Framework Convention on Climate Change</w:t>
      </w:r>
      <w:r w:rsidRPr="001D1CA1">
        <w:rPr>
          <w:bCs/>
        </w:rPr>
        <w:t xml:space="preserve"> (UNFCCC)</w:t>
      </w:r>
      <w:r w:rsidRPr="001D1CA1">
        <w:rPr>
          <w:rStyle w:val="FootnoteReference"/>
          <w:bCs/>
        </w:rPr>
        <w:footnoteReference w:id="2"/>
      </w:r>
      <w:r w:rsidRPr="001D1CA1">
        <w:rPr>
          <w:bCs/>
        </w:rPr>
        <w:t xml:space="preserve"> agreed</w:t>
      </w:r>
      <w:r w:rsidR="00C04616" w:rsidRPr="001D1CA1">
        <w:rPr>
          <w:bCs/>
        </w:rPr>
        <w:t xml:space="preserve"> </w:t>
      </w:r>
      <w:r w:rsidR="007F64BA" w:rsidRPr="001D1CA1">
        <w:rPr>
          <w:bCs/>
        </w:rPr>
        <w:t>to launch negotiations for the establishment</w:t>
      </w:r>
      <w:r w:rsidRPr="001D1CA1">
        <w:rPr>
          <w:bCs/>
        </w:rPr>
        <w:t xml:space="preserve"> of</w:t>
      </w:r>
      <w:r w:rsidR="00B07630" w:rsidRPr="001D1CA1">
        <w:rPr>
          <w:bCs/>
        </w:rPr>
        <w:t xml:space="preserve"> a global </w:t>
      </w:r>
      <w:r w:rsidR="00A853DE" w:rsidRPr="001D1CA1">
        <w:rPr>
          <w:bCs/>
        </w:rPr>
        <w:t xml:space="preserve">mechanism </w:t>
      </w:r>
      <w:r w:rsidR="00283D18" w:rsidRPr="001D1CA1">
        <w:rPr>
          <w:bCs/>
        </w:rPr>
        <w:t xml:space="preserve">to </w:t>
      </w:r>
      <w:r w:rsidR="00A853DE" w:rsidRPr="001D1CA1">
        <w:rPr>
          <w:bCs/>
        </w:rPr>
        <w:t>provide</w:t>
      </w:r>
      <w:r w:rsidRPr="001D1CA1">
        <w:rPr>
          <w:bCs/>
        </w:rPr>
        <w:t xml:space="preserve"> common</w:t>
      </w:r>
      <w:r w:rsidR="00DE75EA" w:rsidRPr="001D1CA1">
        <w:rPr>
          <w:bCs/>
        </w:rPr>
        <w:t xml:space="preserve"> policy</w:t>
      </w:r>
      <w:r w:rsidRPr="001D1CA1">
        <w:rPr>
          <w:bCs/>
        </w:rPr>
        <w:t xml:space="preserve"> approaches and</w:t>
      </w:r>
      <w:r w:rsidR="00DE75EA" w:rsidRPr="001D1CA1">
        <w:rPr>
          <w:bCs/>
        </w:rPr>
        <w:t xml:space="preserve"> financial</w:t>
      </w:r>
      <w:r w:rsidR="00FA1814" w:rsidRPr="001D1CA1">
        <w:rPr>
          <w:bCs/>
        </w:rPr>
        <w:t xml:space="preserve"> incentives to reduce </w:t>
      </w:r>
      <w:r w:rsidRPr="001D1CA1">
        <w:rPr>
          <w:bCs/>
        </w:rPr>
        <w:t xml:space="preserve">carbon emissions from deforestation and forest degradation, support the conservation and sustainable management of forests, and </w:t>
      </w:r>
      <w:r w:rsidR="00FA1814" w:rsidRPr="001D1CA1">
        <w:rPr>
          <w:bCs/>
        </w:rPr>
        <w:t xml:space="preserve">enhance </w:t>
      </w:r>
      <w:r w:rsidRPr="001D1CA1">
        <w:rPr>
          <w:bCs/>
        </w:rPr>
        <w:t>forest carbon stocks in developing countries (known as REDD+).</w:t>
      </w:r>
      <w:r w:rsidR="00FA1814" w:rsidRPr="001D1CA1">
        <w:rPr>
          <w:rStyle w:val="FootnoteReference"/>
          <w:bCs/>
        </w:rPr>
        <w:footnoteReference w:id="3"/>
      </w:r>
      <w:r w:rsidR="00770949" w:rsidRPr="001D1CA1">
        <w:rPr>
          <w:bCs/>
        </w:rPr>
        <w:t xml:space="preserve"> </w:t>
      </w:r>
      <w:r w:rsidR="001C5223" w:rsidRPr="001D1CA1">
        <w:rPr>
          <w:bCs/>
        </w:rPr>
        <w:t xml:space="preserve">Given the relative lack of attention accorded to tropical deforestation in the first fifteen years of the climate regime and its estimated </w:t>
      </w:r>
      <w:r w:rsidR="006E06AD" w:rsidRPr="001D1CA1">
        <w:rPr>
          <w:bCs/>
        </w:rPr>
        <w:t xml:space="preserve">share of between 15% to 17% of global carbon emissions, the </w:t>
      </w:r>
      <w:r w:rsidR="00283D18" w:rsidRPr="001D1CA1">
        <w:rPr>
          <w:bCs/>
        </w:rPr>
        <w:t>emergence of</w:t>
      </w:r>
      <w:r w:rsidR="006E06AD" w:rsidRPr="001D1CA1">
        <w:rPr>
          <w:bCs/>
        </w:rPr>
        <w:t xml:space="preserve"> REDD+</w:t>
      </w:r>
      <w:r w:rsidR="00283D18" w:rsidRPr="001D1CA1">
        <w:rPr>
          <w:bCs/>
        </w:rPr>
        <w:t xml:space="preserve"> in the climate regime</w:t>
      </w:r>
      <w:r w:rsidR="006E06AD" w:rsidRPr="001D1CA1">
        <w:rPr>
          <w:bCs/>
        </w:rPr>
        <w:t xml:space="preserve"> has been heralded</w:t>
      </w:r>
      <w:r w:rsidR="005C47B8" w:rsidRPr="001D1CA1">
        <w:rPr>
          <w:bCs/>
        </w:rPr>
        <w:t xml:space="preserve"> as a path</w:t>
      </w:r>
      <w:r w:rsidR="002E046A" w:rsidRPr="001D1CA1">
        <w:rPr>
          <w:bCs/>
        </w:rPr>
        <w:t xml:space="preserve"> </w:t>
      </w:r>
      <w:r w:rsidR="005C47B8" w:rsidRPr="001D1CA1">
        <w:rPr>
          <w:bCs/>
        </w:rPr>
        <w:t>breaking development</w:t>
      </w:r>
      <w:r w:rsidR="006E06AD" w:rsidRPr="001D1CA1">
        <w:rPr>
          <w:bCs/>
        </w:rPr>
        <w:t xml:space="preserve"> by</w:t>
      </w:r>
      <w:r w:rsidR="00563541" w:rsidRPr="001D1CA1">
        <w:rPr>
          <w:bCs/>
        </w:rPr>
        <w:t xml:space="preserve"> a broad range of</w:t>
      </w:r>
      <w:r w:rsidR="007547C6" w:rsidRPr="001D1CA1">
        <w:rPr>
          <w:bCs/>
        </w:rPr>
        <w:t xml:space="preserve"> </w:t>
      </w:r>
      <w:r w:rsidR="00563541" w:rsidRPr="001D1CA1">
        <w:rPr>
          <w:bCs/>
        </w:rPr>
        <w:t>actors concerned with forest conserv</w:t>
      </w:r>
      <w:r w:rsidR="005C47B8" w:rsidRPr="001D1CA1">
        <w:rPr>
          <w:bCs/>
        </w:rPr>
        <w:t>ation, climate mitigation, and poverty alleviation</w:t>
      </w:r>
      <w:r w:rsidR="007547C6" w:rsidRPr="001D1CA1">
        <w:rPr>
          <w:bCs/>
        </w:rPr>
        <w:t xml:space="preserve"> in developing countries</w:t>
      </w:r>
      <w:r w:rsidR="005C47B8" w:rsidRPr="001D1CA1">
        <w:rPr>
          <w:bCs/>
        </w:rPr>
        <w:t>.</w:t>
      </w:r>
      <w:r w:rsidR="002302F3" w:rsidRPr="001D1CA1">
        <w:rPr>
          <w:rStyle w:val="FootnoteReference"/>
        </w:rPr>
        <w:footnoteReference w:id="4"/>
      </w:r>
    </w:p>
    <w:p w14:paraId="26376F53" w14:textId="77777777" w:rsidR="007E56A0" w:rsidRPr="001D1CA1" w:rsidRDefault="007E56A0" w:rsidP="009F4955">
      <w:pPr>
        <w:rPr>
          <w:bCs/>
        </w:rPr>
      </w:pPr>
    </w:p>
    <w:p w14:paraId="5A1FD232" w14:textId="20935FAE" w:rsidR="0025220E" w:rsidRPr="001D1CA1" w:rsidRDefault="00F34B0E" w:rsidP="009F4955">
      <w:r w:rsidRPr="001D1CA1">
        <w:rPr>
          <w:bCs/>
        </w:rPr>
        <w:t xml:space="preserve">While the design </w:t>
      </w:r>
      <w:r w:rsidR="0025220E" w:rsidRPr="001D1CA1">
        <w:rPr>
          <w:bCs/>
        </w:rPr>
        <w:t>o</w:t>
      </w:r>
      <w:r w:rsidR="007F64BA" w:rsidRPr="001D1CA1">
        <w:rPr>
          <w:bCs/>
        </w:rPr>
        <w:t>f a global REDD+ mechanism continue</w:t>
      </w:r>
      <w:r w:rsidRPr="001D1CA1">
        <w:rPr>
          <w:bCs/>
        </w:rPr>
        <w:t xml:space="preserve">s to evolve </w:t>
      </w:r>
      <w:r w:rsidR="00F01301" w:rsidRPr="001D1CA1">
        <w:rPr>
          <w:bCs/>
        </w:rPr>
        <w:t>as part of the</w:t>
      </w:r>
      <w:r w:rsidR="007F64BA" w:rsidRPr="001D1CA1">
        <w:rPr>
          <w:bCs/>
        </w:rPr>
        <w:t xml:space="preserve"> </w:t>
      </w:r>
      <w:r w:rsidR="0025220E" w:rsidRPr="001D1CA1">
        <w:rPr>
          <w:bCs/>
        </w:rPr>
        <w:t>on-going negotiations</w:t>
      </w:r>
      <w:r w:rsidR="00283D18" w:rsidRPr="001D1CA1">
        <w:rPr>
          <w:bCs/>
        </w:rPr>
        <w:t xml:space="preserve"> for</w:t>
      </w:r>
      <w:r w:rsidR="007F64BA" w:rsidRPr="001D1CA1">
        <w:rPr>
          <w:bCs/>
        </w:rPr>
        <w:t xml:space="preserve"> the adoption of a long-term agreement on climate change</w:t>
      </w:r>
      <w:r w:rsidR="00F01301" w:rsidRPr="001D1CA1">
        <w:rPr>
          <w:bCs/>
        </w:rPr>
        <w:t xml:space="preserve"> </w:t>
      </w:r>
      <w:r w:rsidR="00283D18" w:rsidRPr="001D1CA1">
        <w:rPr>
          <w:bCs/>
        </w:rPr>
        <w:t xml:space="preserve">expected </w:t>
      </w:r>
      <w:r w:rsidR="00F01301" w:rsidRPr="001D1CA1">
        <w:rPr>
          <w:bCs/>
        </w:rPr>
        <w:t>by</w:t>
      </w:r>
      <w:r w:rsidR="002A3EDF" w:rsidRPr="001D1CA1">
        <w:rPr>
          <w:bCs/>
        </w:rPr>
        <w:t xml:space="preserve"> 2015</w:t>
      </w:r>
      <w:r w:rsidR="00A0547D" w:rsidRPr="001D1CA1">
        <w:rPr>
          <w:bCs/>
        </w:rPr>
        <w:t xml:space="preserve">, there are </w:t>
      </w:r>
      <w:r w:rsidR="0025220E" w:rsidRPr="001D1CA1">
        <w:rPr>
          <w:bCs/>
        </w:rPr>
        <w:t xml:space="preserve">four core ideas that underlie </w:t>
      </w:r>
      <w:r w:rsidR="002A3EDF" w:rsidRPr="001D1CA1">
        <w:rPr>
          <w:bCs/>
        </w:rPr>
        <w:t>the current consensus on</w:t>
      </w:r>
      <w:r w:rsidR="0025220E" w:rsidRPr="001D1CA1">
        <w:rPr>
          <w:bCs/>
        </w:rPr>
        <w:t xml:space="preserve"> what a REDD+ mechanism </w:t>
      </w:r>
      <w:r w:rsidR="00675D07" w:rsidRPr="001D1CA1">
        <w:rPr>
          <w:bCs/>
        </w:rPr>
        <w:t xml:space="preserve">ought to </w:t>
      </w:r>
      <w:r w:rsidR="0025220E" w:rsidRPr="001D1CA1">
        <w:rPr>
          <w:bCs/>
        </w:rPr>
        <w:t>entail</w:t>
      </w:r>
      <w:r w:rsidR="002A3EDF" w:rsidRPr="001D1CA1">
        <w:rPr>
          <w:bCs/>
        </w:rPr>
        <w:t>.</w:t>
      </w:r>
      <w:r w:rsidR="0025220E" w:rsidRPr="001D1CA1">
        <w:rPr>
          <w:bCs/>
        </w:rPr>
        <w:t xml:space="preserve"> First, </w:t>
      </w:r>
      <w:r w:rsidR="0025220E" w:rsidRPr="001D1CA1">
        <w:rPr>
          <w:rFonts w:cs="Times New Roman"/>
        </w:rPr>
        <w:t xml:space="preserve">a </w:t>
      </w:r>
      <w:r w:rsidR="001C5223" w:rsidRPr="001D1CA1">
        <w:rPr>
          <w:rFonts w:cs="Times New Roman"/>
        </w:rPr>
        <w:t>REDD+ mechanism should</w:t>
      </w:r>
      <w:r w:rsidR="00AE074A" w:rsidRPr="001D1CA1">
        <w:rPr>
          <w:rFonts w:cs="Times New Roman"/>
        </w:rPr>
        <w:t xml:space="preserve"> aim</w:t>
      </w:r>
      <w:r w:rsidR="0025220E" w:rsidRPr="001D1CA1">
        <w:rPr>
          <w:rFonts w:cs="Times New Roman"/>
        </w:rPr>
        <w:t xml:space="preserve"> to fund a broad range of activities that reduce carbon emissions from forestry-related sources in developing countries in accordance with established international rules and standards.</w:t>
      </w:r>
      <w:r w:rsidR="0025220E" w:rsidRPr="001D1CA1">
        <w:rPr>
          <w:bCs/>
        </w:rPr>
        <w:t xml:space="preserve"> Second, a </w:t>
      </w:r>
      <w:r w:rsidR="001C5223" w:rsidRPr="001D1CA1">
        <w:rPr>
          <w:bCs/>
        </w:rPr>
        <w:t>REDD+ mechanism should</w:t>
      </w:r>
      <w:r w:rsidR="0025220E" w:rsidRPr="001D1CA1">
        <w:rPr>
          <w:bCs/>
        </w:rPr>
        <w:t xml:space="preserve"> fund eligible activities on the basis of results achieved in reducing or avoiding carbon emissions through performance-based pay</w:t>
      </w:r>
      <w:bookmarkStart w:id="1" w:name="_Ref216860529"/>
      <w:r w:rsidR="006E44FE" w:rsidRPr="001D1CA1">
        <w:rPr>
          <w:bCs/>
        </w:rPr>
        <w:t>ments made at a national scale</w:t>
      </w:r>
      <w:r w:rsidR="0025220E" w:rsidRPr="001D1CA1">
        <w:rPr>
          <w:bCs/>
        </w:rPr>
        <w:t xml:space="preserve"> (without excluding the possibility that</w:t>
      </w:r>
      <w:r w:rsidR="00A0547D" w:rsidRPr="001D1CA1">
        <w:rPr>
          <w:bCs/>
        </w:rPr>
        <w:t xml:space="preserve"> sub-national or project-based</w:t>
      </w:r>
      <w:r w:rsidR="0025220E" w:rsidRPr="001D1CA1">
        <w:rPr>
          <w:bCs/>
        </w:rPr>
        <w:t xml:space="preserve"> schemes might</w:t>
      </w:r>
      <w:r w:rsidR="006E44FE" w:rsidRPr="001D1CA1">
        <w:rPr>
          <w:bCs/>
        </w:rPr>
        <w:t xml:space="preserve"> also</w:t>
      </w:r>
      <w:r w:rsidR="00806463" w:rsidRPr="001D1CA1">
        <w:rPr>
          <w:bCs/>
        </w:rPr>
        <w:t xml:space="preserve"> be permitted</w:t>
      </w:r>
      <w:r w:rsidR="0025220E" w:rsidRPr="001D1CA1">
        <w:rPr>
          <w:bCs/>
        </w:rPr>
        <w:t xml:space="preserve"> within national programmes or as interim action in the</w:t>
      </w:r>
      <w:r w:rsidR="00806463" w:rsidRPr="001D1CA1">
        <w:rPr>
          <w:bCs/>
        </w:rPr>
        <w:t xml:space="preserve"> lead-up to the</w:t>
      </w:r>
      <w:r w:rsidR="0025220E" w:rsidRPr="001D1CA1">
        <w:rPr>
          <w:bCs/>
        </w:rPr>
        <w:t xml:space="preserve"> establishment</w:t>
      </w:r>
      <w:r w:rsidR="00806463" w:rsidRPr="001D1CA1">
        <w:rPr>
          <w:bCs/>
        </w:rPr>
        <w:t xml:space="preserve"> of such programmes</w:t>
      </w:r>
      <w:r w:rsidR="0025220E" w:rsidRPr="001D1CA1">
        <w:rPr>
          <w:bCs/>
        </w:rPr>
        <w:t>).</w:t>
      </w:r>
      <w:bookmarkEnd w:id="1"/>
      <w:r w:rsidR="0025220E" w:rsidRPr="001D1CA1">
        <w:rPr>
          <w:bCs/>
        </w:rPr>
        <w:t xml:space="preserve"> Third, funding</w:t>
      </w:r>
      <w:r w:rsidR="005A7766" w:rsidRPr="001D1CA1">
        <w:rPr>
          <w:bCs/>
        </w:rPr>
        <w:t xml:space="preserve"> for a REDD+ mechanism</w:t>
      </w:r>
      <w:r w:rsidR="0025220E" w:rsidRPr="001D1CA1">
        <w:rPr>
          <w:bCs/>
        </w:rPr>
        <w:t xml:space="preserve"> </w:t>
      </w:r>
      <w:r w:rsidR="00901363" w:rsidRPr="001D1CA1">
        <w:rPr>
          <w:bCs/>
        </w:rPr>
        <w:t xml:space="preserve">must come </w:t>
      </w:r>
      <w:r w:rsidR="0025220E" w:rsidRPr="001D1CA1">
        <w:rPr>
          <w:bCs/>
        </w:rPr>
        <w:t>from a variety of sources,</w:t>
      </w:r>
      <w:r w:rsidR="006E44FE" w:rsidRPr="001D1CA1">
        <w:rPr>
          <w:bCs/>
          <w:vertAlign w:val="superscript"/>
        </w:rPr>
        <w:t xml:space="preserve"> </w:t>
      </w:r>
      <w:r w:rsidRPr="001D1CA1">
        <w:rPr>
          <w:bCs/>
        </w:rPr>
        <w:t>principally from North to South</w:t>
      </w:r>
      <w:r w:rsidR="00407785" w:rsidRPr="001D1CA1">
        <w:rPr>
          <w:bCs/>
        </w:rPr>
        <w:t>,</w:t>
      </w:r>
      <w:r w:rsidRPr="001D1CA1">
        <w:rPr>
          <w:bCs/>
        </w:rPr>
        <w:t xml:space="preserve"> </w:t>
      </w:r>
      <w:r w:rsidR="00407785" w:rsidRPr="001D1CA1">
        <w:rPr>
          <w:bCs/>
        </w:rPr>
        <w:t>including</w:t>
      </w:r>
      <w:r w:rsidR="00F00D90" w:rsidRPr="001D1CA1">
        <w:rPr>
          <w:bCs/>
        </w:rPr>
        <w:t xml:space="preserve"> </w:t>
      </w:r>
      <w:r w:rsidR="00BF6DAF" w:rsidRPr="001D1CA1">
        <w:rPr>
          <w:bCs/>
        </w:rPr>
        <w:t>bilateral,</w:t>
      </w:r>
      <w:r w:rsidR="00407785" w:rsidRPr="001D1CA1">
        <w:rPr>
          <w:bCs/>
        </w:rPr>
        <w:t xml:space="preserve"> </w:t>
      </w:r>
      <w:r w:rsidR="00407785" w:rsidRPr="001D1CA1">
        <w:rPr>
          <w:bCs/>
        </w:rPr>
        <w:lastRenderedPageBreak/>
        <w:t>multilateral</w:t>
      </w:r>
      <w:r w:rsidR="00BF6DAF" w:rsidRPr="001D1CA1">
        <w:rPr>
          <w:bCs/>
        </w:rPr>
        <w:t>, and private</w:t>
      </w:r>
      <w:r w:rsidR="006E44FE" w:rsidRPr="001D1CA1">
        <w:rPr>
          <w:bCs/>
        </w:rPr>
        <w:t xml:space="preserve"> </w:t>
      </w:r>
      <w:r w:rsidR="00F00D90" w:rsidRPr="001D1CA1">
        <w:rPr>
          <w:bCs/>
        </w:rPr>
        <w:t>finance</w:t>
      </w:r>
      <w:r w:rsidR="00BF6DAF" w:rsidRPr="001D1CA1">
        <w:rPr>
          <w:bCs/>
        </w:rPr>
        <w:t>.</w:t>
      </w:r>
      <w:r w:rsidR="00407785" w:rsidRPr="001D1CA1">
        <w:rPr>
          <w:bCs/>
        </w:rPr>
        <w:t xml:space="preserve">  </w:t>
      </w:r>
      <w:r w:rsidR="006E44FE" w:rsidRPr="001D1CA1">
        <w:rPr>
          <w:bCs/>
        </w:rPr>
        <w:t xml:space="preserve">Fourth, a REDD+ mechanism </w:t>
      </w:r>
      <w:r w:rsidR="0025220E" w:rsidRPr="001D1CA1">
        <w:rPr>
          <w:bCs/>
        </w:rPr>
        <w:t xml:space="preserve">should engage, in some fashion, with other important </w:t>
      </w:r>
      <w:r w:rsidR="006E44FE" w:rsidRPr="001D1CA1">
        <w:rPr>
          <w:bCs/>
        </w:rPr>
        <w:t xml:space="preserve">social and environmental </w:t>
      </w:r>
      <w:r w:rsidR="0025220E" w:rsidRPr="001D1CA1">
        <w:rPr>
          <w:bCs/>
        </w:rPr>
        <w:t xml:space="preserve">objectives and considerations, principally through respect for </w:t>
      </w:r>
      <w:r w:rsidR="006E44FE" w:rsidRPr="001D1CA1">
        <w:rPr>
          <w:bCs/>
        </w:rPr>
        <w:t>“do no harm” safeguards guiding the implementation of</w:t>
      </w:r>
      <w:r w:rsidR="0025220E" w:rsidRPr="001D1CA1">
        <w:rPr>
          <w:bCs/>
        </w:rPr>
        <w:t xml:space="preserve"> REDD+ activities.</w:t>
      </w:r>
      <w:r w:rsidR="00DE75EA" w:rsidRPr="001D1CA1">
        <w:rPr>
          <w:rStyle w:val="FootnoteReference"/>
          <w:bCs/>
        </w:rPr>
        <w:footnoteReference w:id="5"/>
      </w:r>
    </w:p>
    <w:p w14:paraId="37B67DBF" w14:textId="77777777" w:rsidR="007E56A0" w:rsidRPr="001D1CA1" w:rsidRDefault="007E56A0" w:rsidP="009F4955">
      <w:pPr>
        <w:rPr>
          <w:bCs/>
        </w:rPr>
      </w:pPr>
    </w:p>
    <w:p w14:paraId="72CAB89C" w14:textId="0F1775D1" w:rsidR="00F34B0E" w:rsidRPr="001D1CA1" w:rsidRDefault="00F34B0E" w:rsidP="009F4955">
      <w:pPr>
        <w:rPr>
          <w:bCs/>
        </w:rPr>
      </w:pPr>
      <w:r w:rsidRPr="001D1CA1">
        <w:rPr>
          <w:bCs/>
        </w:rPr>
        <w:t xml:space="preserve">The broad scope, multi-scale nature, and overall complexity of a future REDD+ mechanism has required a gradual approach to its operationalization at the domestic level. </w:t>
      </w:r>
      <w:r w:rsidR="00570C28" w:rsidRPr="001D1CA1">
        <w:rPr>
          <w:bCs/>
        </w:rPr>
        <w:t xml:space="preserve">The </w:t>
      </w:r>
      <w:r w:rsidR="00570C28" w:rsidRPr="001D1CA1">
        <w:rPr>
          <w:bCs/>
          <w:i/>
        </w:rPr>
        <w:t>Cancun Agreements</w:t>
      </w:r>
      <w:r w:rsidR="00570C28" w:rsidRPr="001D1CA1">
        <w:rPr>
          <w:bCs/>
        </w:rPr>
        <w:t xml:space="preserve"> – a set of decisions adopted by the </w:t>
      </w:r>
      <w:r w:rsidR="00F00D90" w:rsidRPr="001D1CA1">
        <w:rPr>
          <w:bCs/>
        </w:rPr>
        <w:t>UNFCCC</w:t>
      </w:r>
      <w:r w:rsidR="00A0547D" w:rsidRPr="001D1CA1">
        <w:rPr>
          <w:bCs/>
        </w:rPr>
        <w:t xml:space="preserve"> COP in 2010 that</w:t>
      </w:r>
      <w:r w:rsidR="00570C28" w:rsidRPr="001D1CA1">
        <w:rPr>
          <w:bCs/>
        </w:rPr>
        <w:t xml:space="preserve"> significantly clarified the scope of a potential REDD+ mechanism –</w:t>
      </w:r>
      <w:r w:rsidR="00040A4B" w:rsidRPr="001D1CA1">
        <w:rPr>
          <w:bCs/>
        </w:rPr>
        <w:t xml:space="preserve"> provide</w:t>
      </w:r>
      <w:r w:rsidR="000B3265" w:rsidRPr="001D1CA1">
        <w:rPr>
          <w:bCs/>
        </w:rPr>
        <w:t xml:space="preserve"> that any developing country</w:t>
      </w:r>
      <w:r w:rsidR="00570C28" w:rsidRPr="001D1CA1">
        <w:rPr>
          <w:bCs/>
        </w:rPr>
        <w:t xml:space="preserve"> interested in participating in an eventual REDD+ mechanism must </w:t>
      </w:r>
      <w:r w:rsidR="00A0547D" w:rsidRPr="001D1CA1">
        <w:rPr>
          <w:bCs/>
        </w:rPr>
        <w:t>proceed through the following</w:t>
      </w:r>
      <w:r w:rsidR="000B3265" w:rsidRPr="001D1CA1">
        <w:rPr>
          <w:bCs/>
        </w:rPr>
        <w:t xml:space="preserve"> three phases:</w:t>
      </w:r>
    </w:p>
    <w:p w14:paraId="703D5FFB" w14:textId="62E82FA9" w:rsidR="00F34B0E" w:rsidRPr="001D1CA1" w:rsidRDefault="00F34B0E" w:rsidP="009F4955">
      <w:pPr>
        <w:pStyle w:val="ListParagraph"/>
        <w:numPr>
          <w:ilvl w:val="0"/>
          <w:numId w:val="4"/>
        </w:numPr>
        <w:rPr>
          <w:bCs/>
        </w:rPr>
      </w:pPr>
      <w:r w:rsidRPr="001D1CA1">
        <w:rPr>
          <w:bCs/>
        </w:rPr>
        <w:t xml:space="preserve">Phase 1: </w:t>
      </w:r>
      <w:r w:rsidR="000F7B7A" w:rsidRPr="001D1CA1">
        <w:rPr>
          <w:bCs/>
        </w:rPr>
        <w:t xml:space="preserve">A </w:t>
      </w:r>
      <w:r w:rsidRPr="001D1CA1">
        <w:rPr>
          <w:bCs/>
        </w:rPr>
        <w:t>readiness phase focusing on the development of national strategies or action  plans, policies and measures, and capacity-building.</w:t>
      </w:r>
    </w:p>
    <w:p w14:paraId="7D980688" w14:textId="1143CFA6" w:rsidR="00F34B0E" w:rsidRPr="001D1CA1" w:rsidRDefault="00F34B0E" w:rsidP="009F4955">
      <w:pPr>
        <w:pStyle w:val="ListParagraph"/>
        <w:numPr>
          <w:ilvl w:val="0"/>
          <w:numId w:val="4"/>
        </w:numPr>
        <w:rPr>
          <w:bCs/>
        </w:rPr>
      </w:pPr>
      <w:r w:rsidRPr="001D1CA1">
        <w:rPr>
          <w:bCs/>
        </w:rPr>
        <w:t xml:space="preserve">Phase 2: An </w:t>
      </w:r>
      <w:r w:rsidR="00794A6F" w:rsidRPr="001D1CA1">
        <w:rPr>
          <w:bCs/>
        </w:rPr>
        <w:t>interim</w:t>
      </w:r>
      <w:r w:rsidRPr="001D1CA1">
        <w:rPr>
          <w:bCs/>
        </w:rPr>
        <w:t xml:space="preserve"> phase entailing the implementation of national strategies or action plans, national policies and measures and the development of results-based demonstration activities. </w:t>
      </w:r>
    </w:p>
    <w:p w14:paraId="4C3F9467" w14:textId="77777777" w:rsidR="00F34B0E" w:rsidRPr="001D1CA1" w:rsidRDefault="00F34B0E" w:rsidP="009F4955">
      <w:pPr>
        <w:pStyle w:val="ListParagraph"/>
        <w:numPr>
          <w:ilvl w:val="0"/>
          <w:numId w:val="4"/>
        </w:numPr>
        <w:rPr>
          <w:bCs/>
        </w:rPr>
      </w:pPr>
      <w:r w:rsidRPr="001D1CA1">
        <w:rPr>
          <w:bCs/>
        </w:rPr>
        <w:t>Phase 3: A compliance phase in which payments are made for results-based actions that are fully measured, reported and verified in accordance with international standards.</w:t>
      </w:r>
      <w:r w:rsidRPr="001D1CA1">
        <w:rPr>
          <w:rStyle w:val="FootnoteReference"/>
          <w:bCs/>
        </w:rPr>
        <w:footnoteReference w:id="6"/>
      </w:r>
      <w:r w:rsidRPr="001D1CA1">
        <w:rPr>
          <w:bCs/>
        </w:rPr>
        <w:t xml:space="preserve"> </w:t>
      </w:r>
    </w:p>
    <w:p w14:paraId="6F02E3DF" w14:textId="77777777" w:rsidR="007E56A0" w:rsidRPr="001D1CA1" w:rsidRDefault="007E56A0" w:rsidP="009F4955">
      <w:pPr>
        <w:rPr>
          <w:bCs/>
        </w:rPr>
      </w:pPr>
    </w:p>
    <w:p w14:paraId="2AAC3A12" w14:textId="63ADF1A1" w:rsidR="00FA12DB" w:rsidRPr="001D1CA1" w:rsidRDefault="003234A8" w:rsidP="009F4955">
      <w:pPr>
        <w:rPr>
          <w:bCs/>
        </w:rPr>
      </w:pPr>
      <w:r w:rsidRPr="001D1CA1">
        <w:rPr>
          <w:bCs/>
        </w:rPr>
        <w:t>Although n</w:t>
      </w:r>
      <w:r w:rsidR="00005A9F" w:rsidRPr="001D1CA1">
        <w:rPr>
          <w:bCs/>
        </w:rPr>
        <w:t>o one knows for sure whether or</w:t>
      </w:r>
      <w:r w:rsidR="005C7E22" w:rsidRPr="001D1CA1">
        <w:rPr>
          <w:bCs/>
        </w:rPr>
        <w:t xml:space="preserve"> when a REDD+ mechanism may</w:t>
      </w:r>
      <w:r w:rsidRPr="001D1CA1">
        <w:rPr>
          <w:bCs/>
        </w:rPr>
        <w:t xml:space="preserve"> be formally established within the UNFCCC, </w:t>
      </w:r>
      <w:r w:rsidR="005C7E22" w:rsidRPr="001D1CA1">
        <w:rPr>
          <w:bCs/>
        </w:rPr>
        <w:t>what rules and standards it may</w:t>
      </w:r>
      <w:r w:rsidRPr="001D1CA1">
        <w:rPr>
          <w:bCs/>
        </w:rPr>
        <w:t xml:space="preserve"> impose for the </w:t>
      </w:r>
      <w:r w:rsidR="007305AB" w:rsidRPr="001D1CA1">
        <w:rPr>
          <w:bCs/>
        </w:rPr>
        <w:t>development and verification</w:t>
      </w:r>
      <w:r w:rsidR="00794A6F" w:rsidRPr="001D1CA1">
        <w:rPr>
          <w:bCs/>
        </w:rPr>
        <w:t xml:space="preserve"> of</w:t>
      </w:r>
      <w:r w:rsidRPr="001D1CA1">
        <w:rPr>
          <w:bCs/>
        </w:rPr>
        <w:t xml:space="preserve"> results-based actions</w:t>
      </w:r>
      <w:r w:rsidR="005C7E22" w:rsidRPr="001D1CA1">
        <w:rPr>
          <w:bCs/>
        </w:rPr>
        <w:t>, and how much funding it may</w:t>
      </w:r>
      <w:r w:rsidRPr="001D1CA1">
        <w:rPr>
          <w:bCs/>
        </w:rPr>
        <w:t xml:space="preserve"> provide</w:t>
      </w:r>
      <w:r w:rsidR="005C7E22" w:rsidRPr="001D1CA1">
        <w:rPr>
          <w:bCs/>
        </w:rPr>
        <w:t xml:space="preserve">, </w:t>
      </w:r>
      <w:r w:rsidR="008466F3" w:rsidRPr="001D1CA1">
        <w:rPr>
          <w:bCs/>
        </w:rPr>
        <w:t>numerous developing countries</w:t>
      </w:r>
      <w:r w:rsidR="0096362A" w:rsidRPr="001D1CA1">
        <w:rPr>
          <w:bCs/>
        </w:rPr>
        <w:t xml:space="preserve"> have moved forward </w:t>
      </w:r>
      <w:r w:rsidR="00794A6F" w:rsidRPr="001D1CA1">
        <w:rPr>
          <w:bCs/>
        </w:rPr>
        <w:t>with the readiness phase</w:t>
      </w:r>
      <w:r w:rsidR="008466F3" w:rsidRPr="001D1CA1">
        <w:rPr>
          <w:rFonts w:cs="Times New Roman"/>
        </w:rPr>
        <w:t>.</w:t>
      </w:r>
      <w:r w:rsidR="008466F3" w:rsidRPr="001D1CA1">
        <w:rPr>
          <w:rStyle w:val="FootnoteReference"/>
          <w:bCs/>
        </w:rPr>
        <w:footnoteReference w:id="7"/>
      </w:r>
      <w:r w:rsidR="008C64C3" w:rsidRPr="001D1CA1">
        <w:rPr>
          <w:rFonts w:cs="Times New Roman"/>
        </w:rPr>
        <w:t xml:space="preserve"> </w:t>
      </w:r>
      <w:r w:rsidR="008C64C3" w:rsidRPr="001D1CA1">
        <w:rPr>
          <w:bCs/>
        </w:rPr>
        <w:t>As of 2012, over 75 countries across Africa, Asia, and Latin America are undertaking REDD+ readiness activities at the domestic level or participating in at least one global REDD+ readiness initiative</w:t>
      </w:r>
      <w:r w:rsidR="008C64C3" w:rsidRPr="001D1CA1">
        <w:rPr>
          <w:vertAlign w:val="superscript"/>
        </w:rPr>
        <w:footnoteReference w:id="8"/>
      </w:r>
      <w:r w:rsidR="008C64C3" w:rsidRPr="001D1CA1">
        <w:rPr>
          <w:bCs/>
        </w:rPr>
        <w:t xml:space="preserve"> and over 340 REDD+ demonstration projects are being pursed in 52 countries throughout the developing world.</w:t>
      </w:r>
      <w:r w:rsidR="008C64C3" w:rsidRPr="001D1CA1">
        <w:rPr>
          <w:rStyle w:val="FootnoteReference"/>
          <w:bCs/>
        </w:rPr>
        <w:footnoteReference w:id="9"/>
      </w:r>
      <w:r w:rsidR="008C64C3" w:rsidRPr="001D1CA1">
        <w:rPr>
          <w:bCs/>
        </w:rPr>
        <w:t xml:space="preserve"> </w:t>
      </w:r>
      <w:r w:rsidR="00015F73" w:rsidRPr="001D1CA1">
        <w:rPr>
          <w:bCs/>
        </w:rPr>
        <w:t>While it is still too early to assess whether a future REDD+ mechanism may succeed in reducing carbon emissions from tropical deforestation, the key features of an eventual REDD+ mechanism – reliance on international finance for results-based carbon sequestration in tropical forests – requires the development of new laws, policies, and governance frameworks, the creation of new institutions, systems, and processes, and associated</w:t>
      </w:r>
      <w:r w:rsidR="00C97CF4" w:rsidRPr="001D1CA1">
        <w:rPr>
          <w:bCs/>
        </w:rPr>
        <w:t xml:space="preserve"> policy development</w:t>
      </w:r>
      <w:r w:rsidR="00015F73" w:rsidRPr="001D1CA1">
        <w:rPr>
          <w:bCs/>
        </w:rPr>
        <w:t xml:space="preserve"> activities such as research, capacity-building, and stakeholder engagement that may hold profound implications for the way forests and related policy domains are governed and managed in developing countries.</w:t>
      </w:r>
      <w:bookmarkStart w:id="2" w:name="_Ref217133649"/>
      <w:bookmarkStart w:id="3" w:name="_Ref216339171"/>
      <w:r w:rsidR="00015F73" w:rsidRPr="001D1CA1">
        <w:rPr>
          <w:rStyle w:val="FootnoteReference"/>
        </w:rPr>
        <w:footnoteReference w:id="10"/>
      </w:r>
      <w:bookmarkEnd w:id="2"/>
      <w:bookmarkEnd w:id="3"/>
      <w:r w:rsidR="00103FD0" w:rsidRPr="001D1CA1">
        <w:rPr>
          <w:bCs/>
        </w:rPr>
        <w:t xml:space="preserve"> </w:t>
      </w:r>
    </w:p>
    <w:p w14:paraId="12E96942" w14:textId="2032C660" w:rsidR="004D6E35" w:rsidRPr="001D1CA1" w:rsidRDefault="00333934" w:rsidP="009F4955">
      <w:pPr>
        <w:rPr>
          <w:rFonts w:cs="Times New Roman"/>
        </w:rPr>
      </w:pPr>
      <w:r w:rsidRPr="001D1CA1">
        <w:rPr>
          <w:bCs/>
        </w:rPr>
        <w:lastRenderedPageBreak/>
        <w:t>While</w:t>
      </w:r>
      <w:r w:rsidR="002524D8" w:rsidRPr="001D1CA1">
        <w:rPr>
          <w:bCs/>
        </w:rPr>
        <w:t xml:space="preserve"> the REDD+ readiness phase is meant to be country-driven process that is tailored </w:t>
      </w:r>
      <w:r w:rsidR="002524D8" w:rsidRPr="001D1CA1">
        <w:rPr>
          <w:bCs/>
          <w:lang w:val="en-US"/>
        </w:rPr>
        <w:t xml:space="preserve">to </w:t>
      </w:r>
      <w:r w:rsidR="00015F73" w:rsidRPr="001D1CA1">
        <w:rPr>
          <w:bCs/>
          <w:lang w:val="en-US"/>
        </w:rPr>
        <w:t xml:space="preserve">the </w:t>
      </w:r>
      <w:r w:rsidR="002524D8" w:rsidRPr="001D1CA1">
        <w:rPr>
          <w:bCs/>
          <w:lang w:val="en-US"/>
        </w:rPr>
        <w:t>national circumstances and capabilities</w:t>
      </w:r>
      <w:r w:rsidR="00015F73" w:rsidRPr="001D1CA1">
        <w:rPr>
          <w:bCs/>
          <w:lang w:val="en-US"/>
        </w:rPr>
        <w:t xml:space="preserve"> of participating developing countries,</w:t>
      </w:r>
      <w:r w:rsidR="002524D8" w:rsidRPr="001D1CA1">
        <w:rPr>
          <w:rStyle w:val="FootnoteReference"/>
          <w:bCs/>
        </w:rPr>
        <w:footnoteReference w:id="11"/>
      </w:r>
      <w:r w:rsidR="002524D8" w:rsidRPr="001D1CA1">
        <w:rPr>
          <w:bCs/>
        </w:rPr>
        <w:t xml:space="preserve"> </w:t>
      </w:r>
      <w:r w:rsidR="002524D8" w:rsidRPr="001D1CA1">
        <w:rPr>
          <w:rFonts w:cs="Times New Roman"/>
        </w:rPr>
        <w:t>an array of multilateral, bilateral, and non-governmental actors</w:t>
      </w:r>
      <w:r w:rsidR="00241629" w:rsidRPr="001D1CA1">
        <w:rPr>
          <w:rFonts w:cs="Times New Roman"/>
        </w:rPr>
        <w:t xml:space="preserve"> have been actively engaged in</w:t>
      </w:r>
      <w:r w:rsidR="00015F73" w:rsidRPr="001D1CA1">
        <w:rPr>
          <w:rFonts w:cs="Times New Roman"/>
        </w:rPr>
        <w:t xml:space="preserve"> REDD+ readiness</w:t>
      </w:r>
      <w:r w:rsidR="00241629" w:rsidRPr="001D1CA1">
        <w:rPr>
          <w:rFonts w:cs="Times New Roman"/>
        </w:rPr>
        <w:t xml:space="preserve"> efforts at multiple scales</w:t>
      </w:r>
      <w:r w:rsidR="00A51AA6" w:rsidRPr="001D1CA1">
        <w:rPr>
          <w:rFonts w:cs="Times New Roman"/>
        </w:rPr>
        <w:t>. Key actors</w:t>
      </w:r>
      <w:r w:rsidR="002524D8" w:rsidRPr="001D1CA1">
        <w:rPr>
          <w:rFonts w:cs="Times New Roman"/>
        </w:rPr>
        <w:t xml:space="preserve"> most notably </w:t>
      </w:r>
      <w:r w:rsidR="00A51AA6" w:rsidRPr="001D1CA1">
        <w:rPr>
          <w:rFonts w:cs="Times New Roman"/>
        </w:rPr>
        <w:t xml:space="preserve">include </w:t>
      </w:r>
      <w:r w:rsidR="002524D8" w:rsidRPr="001D1CA1">
        <w:rPr>
          <w:rFonts w:cs="Times New Roman"/>
        </w:rPr>
        <w:t xml:space="preserve">the UNFCCC COP, a </w:t>
      </w:r>
      <w:r w:rsidR="00A51AA6" w:rsidRPr="001D1CA1">
        <w:rPr>
          <w:rFonts w:cs="Times New Roman"/>
        </w:rPr>
        <w:t>collaborative</w:t>
      </w:r>
      <w:r w:rsidR="002524D8" w:rsidRPr="001D1CA1">
        <w:rPr>
          <w:rFonts w:cs="Times New Roman"/>
        </w:rPr>
        <w:t xml:space="preserve"> United Nations programme</w:t>
      </w:r>
      <w:r w:rsidR="00A51AA6" w:rsidRPr="001D1CA1">
        <w:rPr>
          <w:rFonts w:cs="Times New Roman"/>
        </w:rPr>
        <w:t xml:space="preserve"> known as UN-REDD</w:t>
      </w:r>
      <w:r w:rsidR="002524D8" w:rsidRPr="001D1CA1">
        <w:rPr>
          <w:rFonts w:cs="Times New Roman"/>
        </w:rPr>
        <w:t xml:space="preserve">, the World Bank and other multilateral development banks, developed country aid agencies, </w:t>
      </w:r>
      <w:r w:rsidR="00241629" w:rsidRPr="001D1CA1">
        <w:rPr>
          <w:rFonts w:cs="Times New Roman"/>
        </w:rPr>
        <w:t>conservation NGOs, Indigenous/</w:t>
      </w:r>
      <w:r w:rsidR="00A51AA6" w:rsidRPr="001D1CA1">
        <w:rPr>
          <w:rFonts w:cs="Times New Roman"/>
        </w:rPr>
        <w:t>human rights</w:t>
      </w:r>
      <w:r w:rsidR="002524D8" w:rsidRPr="001D1CA1">
        <w:rPr>
          <w:rFonts w:cs="Times New Roman"/>
        </w:rPr>
        <w:t xml:space="preserve"> NGOs, and carbon market developers.</w:t>
      </w:r>
      <w:r w:rsidR="00241629" w:rsidRPr="001D1CA1">
        <w:rPr>
          <w:rFonts w:cs="Times New Roman"/>
        </w:rPr>
        <w:t xml:space="preserve"> These </w:t>
      </w:r>
      <w:r w:rsidR="00FF6DA2" w:rsidRPr="001D1CA1">
        <w:rPr>
          <w:rFonts w:cs="Times New Roman"/>
        </w:rPr>
        <w:t>actors have made a number of contributions to</w:t>
      </w:r>
      <w:r w:rsidR="004D6E35" w:rsidRPr="001D1CA1">
        <w:rPr>
          <w:rFonts w:cs="Times New Roman"/>
        </w:rPr>
        <w:t xml:space="preserve"> the</w:t>
      </w:r>
      <w:r w:rsidR="00FF6DA2" w:rsidRPr="001D1CA1">
        <w:rPr>
          <w:rFonts w:cs="Times New Roman"/>
        </w:rPr>
        <w:t xml:space="preserve"> </w:t>
      </w:r>
      <w:r w:rsidR="00A35A19" w:rsidRPr="001D1CA1">
        <w:rPr>
          <w:rFonts w:cs="Times New Roman"/>
        </w:rPr>
        <w:t>domestic operationalization of REDD+ worldwide</w:t>
      </w:r>
      <w:r w:rsidR="004F5B23" w:rsidRPr="001D1CA1">
        <w:rPr>
          <w:rFonts w:cs="Times New Roman"/>
        </w:rPr>
        <w:t>, including</w:t>
      </w:r>
      <w:r w:rsidR="009A291C" w:rsidRPr="001D1CA1">
        <w:rPr>
          <w:rFonts w:cs="Times New Roman"/>
        </w:rPr>
        <w:t xml:space="preserve"> by</w:t>
      </w:r>
      <w:r w:rsidR="00C97CF4" w:rsidRPr="001D1CA1">
        <w:rPr>
          <w:rFonts w:cs="Times New Roman"/>
        </w:rPr>
        <w:t xml:space="preserve"> organizing conferences and meetings,</w:t>
      </w:r>
      <w:r w:rsidR="004F5B23" w:rsidRPr="001D1CA1">
        <w:rPr>
          <w:rFonts w:cs="Times New Roman"/>
        </w:rPr>
        <w:t xml:space="preserve"> setting rules and providing</w:t>
      </w:r>
      <w:r w:rsidR="00FF6DA2" w:rsidRPr="001D1CA1">
        <w:rPr>
          <w:rFonts w:cs="Times New Roman"/>
        </w:rPr>
        <w:t xml:space="preserve"> </w:t>
      </w:r>
      <w:r w:rsidR="00241629" w:rsidRPr="001D1CA1">
        <w:rPr>
          <w:rFonts w:cs="Times New Roman"/>
        </w:rPr>
        <w:t>methodological guidance</w:t>
      </w:r>
      <w:r w:rsidR="00FF6DA2" w:rsidRPr="001D1CA1">
        <w:rPr>
          <w:rFonts w:cs="Times New Roman"/>
        </w:rPr>
        <w:t>,</w:t>
      </w:r>
      <w:r w:rsidR="004F5B23" w:rsidRPr="001D1CA1">
        <w:rPr>
          <w:rFonts w:cs="Times New Roman"/>
        </w:rPr>
        <w:t xml:space="preserve"> leading</w:t>
      </w:r>
      <w:r w:rsidR="00FF6DA2" w:rsidRPr="001D1CA1">
        <w:rPr>
          <w:rFonts w:cs="Times New Roman"/>
        </w:rPr>
        <w:t xml:space="preserve"> technical assistance,</w:t>
      </w:r>
      <w:r w:rsidR="00241629" w:rsidRPr="001D1CA1">
        <w:rPr>
          <w:rFonts w:cs="Times New Roman"/>
        </w:rPr>
        <w:t xml:space="preserve"> capacity</w:t>
      </w:r>
      <w:r w:rsidR="00FF6DA2" w:rsidRPr="001D1CA1">
        <w:rPr>
          <w:rFonts w:cs="Times New Roman"/>
        </w:rPr>
        <w:t>-building, and demonst</w:t>
      </w:r>
      <w:r w:rsidR="004F5B23" w:rsidRPr="001D1CA1">
        <w:rPr>
          <w:rFonts w:cs="Times New Roman"/>
        </w:rPr>
        <w:t>ration projects,</w:t>
      </w:r>
      <w:r w:rsidR="009A291C" w:rsidRPr="001D1CA1">
        <w:rPr>
          <w:rFonts w:cs="Times New Roman"/>
        </w:rPr>
        <w:t xml:space="preserve"> supporting and undertaking research and analysis,</w:t>
      </w:r>
      <w:r w:rsidR="004F5B23" w:rsidRPr="001D1CA1">
        <w:rPr>
          <w:rFonts w:cs="Times New Roman"/>
        </w:rPr>
        <w:t xml:space="preserve"> and </w:t>
      </w:r>
      <w:r w:rsidR="004D6E35" w:rsidRPr="001D1CA1">
        <w:rPr>
          <w:rFonts w:cs="Times New Roman"/>
        </w:rPr>
        <w:t>delivering finance for projects and programmes</w:t>
      </w:r>
      <w:r w:rsidR="00A35A19" w:rsidRPr="001D1CA1">
        <w:rPr>
          <w:rFonts w:cs="Times New Roman"/>
        </w:rPr>
        <w:t>.</w:t>
      </w:r>
      <w:r w:rsidR="00241629" w:rsidRPr="001D1CA1">
        <w:rPr>
          <w:rStyle w:val="FootnoteReference"/>
          <w:rFonts w:cs="Times New Roman"/>
        </w:rPr>
        <w:footnoteReference w:id="12"/>
      </w:r>
      <w:r w:rsidR="00A35A19" w:rsidRPr="001D1CA1">
        <w:rPr>
          <w:rFonts w:cs="Times New Roman"/>
        </w:rPr>
        <w:t xml:space="preserve"> </w:t>
      </w:r>
    </w:p>
    <w:p w14:paraId="50EFAF84" w14:textId="77777777" w:rsidR="004D6E35" w:rsidRPr="001D1CA1" w:rsidRDefault="004D6E35" w:rsidP="009F4955">
      <w:pPr>
        <w:rPr>
          <w:rFonts w:cs="Times New Roman"/>
        </w:rPr>
      </w:pPr>
    </w:p>
    <w:p w14:paraId="1018D5CD" w14:textId="405B0740" w:rsidR="00911AC7" w:rsidRPr="001D1CA1" w:rsidRDefault="004D6E35" w:rsidP="009F4955">
      <w:pPr>
        <w:rPr>
          <w:bCs/>
        </w:rPr>
      </w:pPr>
      <w:r w:rsidRPr="001D1CA1">
        <w:rPr>
          <w:bCs/>
        </w:rPr>
        <w:t xml:space="preserve">This </w:t>
      </w:r>
      <w:r w:rsidR="005C4EF3" w:rsidRPr="001D1CA1">
        <w:rPr>
          <w:bCs/>
        </w:rPr>
        <w:t>paper</w:t>
      </w:r>
      <w:r w:rsidR="00585F84" w:rsidRPr="001D1CA1">
        <w:rPr>
          <w:bCs/>
        </w:rPr>
        <w:t xml:space="preserve"> </w:t>
      </w:r>
      <w:r w:rsidR="00CD7160" w:rsidRPr="001D1CA1">
        <w:rPr>
          <w:bCs/>
        </w:rPr>
        <w:t xml:space="preserve">is part of a broader research project that </w:t>
      </w:r>
      <w:r w:rsidRPr="001D1CA1">
        <w:rPr>
          <w:bCs/>
        </w:rPr>
        <w:t xml:space="preserve">focuses on the role of </w:t>
      </w:r>
      <w:r w:rsidR="00333934" w:rsidRPr="001D1CA1">
        <w:rPr>
          <w:rFonts w:cs="Times New Roman"/>
        </w:rPr>
        <w:t>international organisations, foreign governments,</w:t>
      </w:r>
      <w:r w:rsidR="00911AC7" w:rsidRPr="001D1CA1">
        <w:rPr>
          <w:rFonts w:cs="Times New Roman"/>
        </w:rPr>
        <w:t xml:space="preserve"> bil</w:t>
      </w:r>
      <w:r w:rsidR="00333934" w:rsidRPr="001D1CA1">
        <w:rPr>
          <w:rFonts w:cs="Times New Roman"/>
        </w:rPr>
        <w:t>ate</w:t>
      </w:r>
      <w:r w:rsidR="00E61213" w:rsidRPr="001D1CA1">
        <w:rPr>
          <w:rFonts w:cs="Times New Roman"/>
        </w:rPr>
        <w:t xml:space="preserve">ral, </w:t>
      </w:r>
      <w:r w:rsidR="00333934" w:rsidRPr="001D1CA1">
        <w:rPr>
          <w:rFonts w:cs="Times New Roman"/>
        </w:rPr>
        <w:t>non-governmental organisations</w:t>
      </w:r>
      <w:r w:rsidR="00E61213" w:rsidRPr="001D1CA1">
        <w:rPr>
          <w:rFonts w:cs="Times New Roman"/>
        </w:rPr>
        <w:t>, and multinational corporations</w:t>
      </w:r>
      <w:r w:rsidR="00911AC7" w:rsidRPr="001D1CA1">
        <w:rPr>
          <w:rFonts w:cs="Times New Roman"/>
        </w:rPr>
        <w:t xml:space="preserve"> </w:t>
      </w:r>
      <w:r w:rsidRPr="001D1CA1">
        <w:rPr>
          <w:bCs/>
        </w:rPr>
        <w:t>in t</w:t>
      </w:r>
      <w:r w:rsidR="00333934" w:rsidRPr="001D1CA1">
        <w:rPr>
          <w:bCs/>
        </w:rPr>
        <w:t>he REDD+ readiness phase and their influence</w:t>
      </w:r>
      <w:r w:rsidRPr="001D1CA1">
        <w:rPr>
          <w:bCs/>
        </w:rPr>
        <w:t xml:space="preserve"> </w:t>
      </w:r>
      <w:r w:rsidR="00333934" w:rsidRPr="001D1CA1">
        <w:rPr>
          <w:bCs/>
        </w:rPr>
        <w:t xml:space="preserve">on </w:t>
      </w:r>
      <w:r w:rsidRPr="001D1CA1">
        <w:rPr>
          <w:bCs/>
        </w:rPr>
        <w:t xml:space="preserve">policy development in participating developing countries. </w:t>
      </w:r>
      <w:r w:rsidR="001E1422" w:rsidRPr="001D1CA1">
        <w:rPr>
          <w:bCs/>
        </w:rPr>
        <w:t>Like other areas of transnational climate governance,</w:t>
      </w:r>
      <w:r w:rsidR="00BA782F" w:rsidRPr="001D1CA1">
        <w:rPr>
          <w:rStyle w:val="FootnoteReference"/>
        </w:rPr>
        <w:footnoteReference w:id="13"/>
      </w:r>
      <w:r w:rsidR="00BA782F" w:rsidRPr="001D1CA1">
        <w:rPr>
          <w:rStyle w:val="FootnoteReference"/>
          <w:sz w:val="20"/>
          <w:szCs w:val="20"/>
        </w:rPr>
        <w:t xml:space="preserve"> </w:t>
      </w:r>
      <w:r w:rsidR="00BA782F" w:rsidRPr="001D1CA1">
        <w:rPr>
          <w:bCs/>
        </w:rPr>
        <w:t>th</w:t>
      </w:r>
      <w:r w:rsidR="001E1422" w:rsidRPr="001D1CA1">
        <w:rPr>
          <w:bCs/>
        </w:rPr>
        <w:t>e REDD+ readiness phase benefits from the engagement of</w:t>
      </w:r>
      <w:r w:rsidR="00911AC7" w:rsidRPr="001D1CA1">
        <w:rPr>
          <w:bCs/>
        </w:rPr>
        <w:t xml:space="preserve"> </w:t>
      </w:r>
      <w:r w:rsidR="00BA782F" w:rsidRPr="001D1CA1">
        <w:rPr>
          <w:bCs/>
        </w:rPr>
        <w:t>an array of transnational policy actors, defined by Orenstein as</w:t>
      </w:r>
      <w:r w:rsidR="009B17F6" w:rsidRPr="001D1CA1">
        <w:rPr>
          <w:bCs/>
        </w:rPr>
        <w:t xml:space="preserve"> </w:t>
      </w:r>
      <w:r w:rsidR="009B17F6" w:rsidRPr="001D1CA1">
        <w:t>“organizations (multilateral, state or non-state) or individuals that seek to develop and advocate well-elaborated policy proposals in multiple national contexts.”</w:t>
      </w:r>
      <w:bookmarkStart w:id="4" w:name="_Ref223423181"/>
      <w:r w:rsidR="009B17F6" w:rsidRPr="001D1CA1">
        <w:rPr>
          <w:rStyle w:val="FootnoteReference"/>
          <w:bCs/>
        </w:rPr>
        <w:footnoteReference w:id="14"/>
      </w:r>
      <w:bookmarkEnd w:id="4"/>
      <w:r w:rsidR="00BA0243" w:rsidRPr="001D1CA1">
        <w:rPr>
          <w:bCs/>
        </w:rPr>
        <w:t xml:space="preserve"> </w:t>
      </w:r>
      <w:r w:rsidR="00CD7160" w:rsidRPr="001D1CA1">
        <w:rPr>
          <w:bCs/>
        </w:rPr>
        <w:t>By understanding</w:t>
      </w:r>
      <w:r w:rsidR="00BA0243" w:rsidRPr="001D1CA1">
        <w:rPr>
          <w:bCs/>
        </w:rPr>
        <w:t xml:space="preserve"> whether and how these transnational policy</w:t>
      </w:r>
      <w:r w:rsidR="00D37092" w:rsidRPr="001D1CA1">
        <w:rPr>
          <w:bCs/>
        </w:rPr>
        <w:t xml:space="preserve"> actors have</w:t>
      </w:r>
      <w:r w:rsidR="009B17F6" w:rsidRPr="001D1CA1">
        <w:rPr>
          <w:bCs/>
        </w:rPr>
        <w:t xml:space="preserve"> influence</w:t>
      </w:r>
      <w:r w:rsidR="00BA0243" w:rsidRPr="001D1CA1">
        <w:rPr>
          <w:bCs/>
        </w:rPr>
        <w:t>d</w:t>
      </w:r>
      <w:r w:rsidR="00D37092" w:rsidRPr="001D1CA1">
        <w:rPr>
          <w:bCs/>
        </w:rPr>
        <w:t xml:space="preserve"> REDD+ readiness </w:t>
      </w:r>
      <w:r w:rsidR="009B17F6" w:rsidRPr="001D1CA1">
        <w:rPr>
          <w:bCs/>
        </w:rPr>
        <w:t>policy development</w:t>
      </w:r>
      <w:r w:rsidR="00D37092" w:rsidRPr="001D1CA1">
        <w:rPr>
          <w:bCs/>
        </w:rPr>
        <w:t xml:space="preserve"> in a number of developing countries, I seek to provide new ins</w:t>
      </w:r>
      <w:r w:rsidR="00050B0B" w:rsidRPr="001D1CA1">
        <w:rPr>
          <w:bCs/>
        </w:rPr>
        <w:t xml:space="preserve">ights on the nature and behaviour </w:t>
      </w:r>
      <w:r w:rsidR="00D37092" w:rsidRPr="001D1CA1">
        <w:rPr>
          <w:bCs/>
        </w:rPr>
        <w:t xml:space="preserve">of </w:t>
      </w:r>
      <w:r w:rsidR="00050B0B" w:rsidRPr="001D1CA1">
        <w:rPr>
          <w:bCs/>
        </w:rPr>
        <w:t>these actors as well as</w:t>
      </w:r>
      <w:r w:rsidR="00BA0243" w:rsidRPr="001D1CA1">
        <w:rPr>
          <w:bCs/>
        </w:rPr>
        <w:t xml:space="preserve"> the potential and limitations </w:t>
      </w:r>
      <w:r w:rsidR="00C34381" w:rsidRPr="001D1CA1">
        <w:rPr>
          <w:bCs/>
        </w:rPr>
        <w:t>of their impact on</w:t>
      </w:r>
      <w:r w:rsidR="00B41DBA" w:rsidRPr="001D1CA1">
        <w:rPr>
          <w:bCs/>
        </w:rPr>
        <w:t xml:space="preserve"> </w:t>
      </w:r>
      <w:r w:rsidR="00050B0B" w:rsidRPr="001D1CA1">
        <w:rPr>
          <w:bCs/>
        </w:rPr>
        <w:t>domestic policy processes and outcomes.</w:t>
      </w:r>
      <w:r w:rsidR="00281FF0" w:rsidRPr="001D1CA1">
        <w:rPr>
          <w:bCs/>
        </w:rPr>
        <w:t xml:space="preserve"> </w:t>
      </w:r>
    </w:p>
    <w:p w14:paraId="5CECD9E5" w14:textId="77777777" w:rsidR="007E56A0" w:rsidRPr="001D1CA1" w:rsidRDefault="007E56A0" w:rsidP="009F4955">
      <w:pPr>
        <w:rPr>
          <w:bCs/>
        </w:rPr>
      </w:pPr>
    </w:p>
    <w:p w14:paraId="44510C56" w14:textId="3A17DBE1" w:rsidR="00923A85" w:rsidRPr="001D1CA1" w:rsidRDefault="00461AD1" w:rsidP="009F4955">
      <w:r w:rsidRPr="001D1CA1">
        <w:rPr>
          <w:bCs/>
        </w:rPr>
        <w:t xml:space="preserve">In </w:t>
      </w:r>
      <w:r w:rsidR="0052061B" w:rsidRPr="001D1CA1">
        <w:rPr>
          <w:bCs/>
        </w:rPr>
        <w:t>examining</w:t>
      </w:r>
      <w:r w:rsidR="00CD7160" w:rsidRPr="001D1CA1">
        <w:rPr>
          <w:bCs/>
        </w:rPr>
        <w:t xml:space="preserve"> the influence of transnational policy actors on</w:t>
      </w:r>
      <w:r w:rsidR="0052061B" w:rsidRPr="001D1CA1">
        <w:rPr>
          <w:bCs/>
        </w:rPr>
        <w:t xml:space="preserve"> REDD+ readiness policy development in participating developing countries</w:t>
      </w:r>
      <w:r w:rsidR="00050B0B" w:rsidRPr="001D1CA1">
        <w:rPr>
          <w:bCs/>
        </w:rPr>
        <w:t xml:space="preserve">, </w:t>
      </w:r>
      <w:r w:rsidR="002524D8" w:rsidRPr="001D1CA1">
        <w:rPr>
          <w:bCs/>
        </w:rPr>
        <w:t>I pay particular attention to</w:t>
      </w:r>
      <w:r w:rsidRPr="001D1CA1">
        <w:rPr>
          <w:bCs/>
        </w:rPr>
        <w:t xml:space="preserve"> </w:t>
      </w:r>
      <w:r w:rsidR="00AF1BB8" w:rsidRPr="001D1CA1">
        <w:rPr>
          <w:bCs/>
        </w:rPr>
        <w:t>changes in laws, policies, institutions, and processes that relate to</w:t>
      </w:r>
      <w:r w:rsidR="002524D8" w:rsidRPr="001D1CA1">
        <w:rPr>
          <w:bCs/>
        </w:rPr>
        <w:t xml:space="preserve"> </w:t>
      </w:r>
      <w:r w:rsidR="00AF1BB8" w:rsidRPr="001D1CA1">
        <w:rPr>
          <w:lang w:val="en-US"/>
        </w:rPr>
        <w:t>the rights of Indigenous and forest-dependent communities</w:t>
      </w:r>
      <w:r w:rsidR="00AF1BB8" w:rsidRPr="001D1CA1">
        <w:t>.</w:t>
      </w:r>
      <w:r w:rsidR="00AF1BB8" w:rsidRPr="001D1CA1">
        <w:rPr>
          <w:rStyle w:val="FootnoteReference"/>
          <w:bCs/>
        </w:rPr>
        <w:footnoteReference w:id="15"/>
      </w:r>
      <w:r w:rsidR="007E5B6F" w:rsidRPr="001D1CA1">
        <w:t xml:space="preserve"> </w:t>
      </w:r>
      <w:r w:rsidR="00C34381" w:rsidRPr="001D1CA1">
        <w:t>S</w:t>
      </w:r>
      <w:r w:rsidR="00AF1BB8" w:rsidRPr="001D1CA1">
        <w:t xml:space="preserve">ince international negotiations on REDD+ were first initiated in 2007, the rights of Indigenous and forest-dependent communities have </w:t>
      </w:r>
      <w:r w:rsidR="00AF1BB8" w:rsidRPr="001D1CA1">
        <w:rPr>
          <w:bCs/>
        </w:rPr>
        <w:t xml:space="preserve">emerged as an important and controversial issue area among </w:t>
      </w:r>
      <w:bookmarkStart w:id="5" w:name="_Ref209602001"/>
      <w:r w:rsidR="00AF1BB8" w:rsidRPr="001D1CA1">
        <w:rPr>
          <w:bCs/>
        </w:rPr>
        <w:t>policy-makers, experts, and stakeholders.</w:t>
      </w:r>
      <w:bookmarkStart w:id="6" w:name="_Ref209676242"/>
      <w:r w:rsidR="00AF1BB8" w:rsidRPr="001D1CA1">
        <w:rPr>
          <w:bCs/>
          <w:vertAlign w:val="superscript"/>
        </w:rPr>
        <w:footnoteReference w:id="16"/>
      </w:r>
      <w:bookmarkEnd w:id="5"/>
      <w:bookmarkEnd w:id="6"/>
      <w:r w:rsidR="00AF1BB8" w:rsidRPr="001D1CA1">
        <w:rPr>
          <w:bCs/>
        </w:rPr>
        <w:t xml:space="preserve"> </w:t>
      </w:r>
      <w:r w:rsidR="00AF1BB8" w:rsidRPr="001D1CA1">
        <w:rPr>
          <w:bCs/>
        </w:rPr>
        <w:lastRenderedPageBreak/>
        <w:t xml:space="preserve">Due to the dedicated efforts of </w:t>
      </w:r>
      <w:r w:rsidR="0018759F" w:rsidRPr="001D1CA1">
        <w:rPr>
          <w:bCs/>
        </w:rPr>
        <w:t>advoca</w:t>
      </w:r>
      <w:r w:rsidR="001D3C04" w:rsidRPr="001D1CA1">
        <w:rPr>
          <w:bCs/>
        </w:rPr>
        <w:t xml:space="preserve">tes and experts </w:t>
      </w:r>
      <w:r w:rsidR="00283D18" w:rsidRPr="001D1CA1">
        <w:rPr>
          <w:bCs/>
        </w:rPr>
        <w:t xml:space="preserve">that </w:t>
      </w:r>
      <w:r w:rsidR="00FE7CF2" w:rsidRPr="001D1CA1">
        <w:rPr>
          <w:bCs/>
        </w:rPr>
        <w:t>sought respect for</w:t>
      </w:r>
      <w:r w:rsidR="008E5D5E" w:rsidRPr="001D1CA1">
        <w:rPr>
          <w:bCs/>
        </w:rPr>
        <w:t xml:space="preserve"> the</w:t>
      </w:r>
      <w:r w:rsidR="00AF1BB8" w:rsidRPr="001D1CA1">
        <w:rPr>
          <w:bCs/>
        </w:rPr>
        <w:t xml:space="preserve"> rights of Indigenous and </w:t>
      </w:r>
      <w:r w:rsidR="00283D18" w:rsidRPr="001D1CA1">
        <w:rPr>
          <w:bCs/>
        </w:rPr>
        <w:t>forest-depe</w:t>
      </w:r>
      <w:r w:rsidR="001D3C04" w:rsidRPr="001D1CA1">
        <w:rPr>
          <w:bCs/>
        </w:rPr>
        <w:t xml:space="preserve">ndent communities </w:t>
      </w:r>
      <w:r w:rsidR="00FE7CF2" w:rsidRPr="001D1CA1">
        <w:rPr>
          <w:bCs/>
        </w:rPr>
        <w:t xml:space="preserve">in the fields of climate change, </w:t>
      </w:r>
      <w:r w:rsidR="00AF1BB8" w:rsidRPr="001D1CA1">
        <w:rPr>
          <w:bCs/>
        </w:rPr>
        <w:t>development</w:t>
      </w:r>
      <w:r w:rsidR="00FE7CF2" w:rsidRPr="001D1CA1">
        <w:rPr>
          <w:bCs/>
        </w:rPr>
        <w:t>,</w:t>
      </w:r>
      <w:r w:rsidR="00AF1BB8" w:rsidRPr="001D1CA1">
        <w:rPr>
          <w:bCs/>
        </w:rPr>
        <w:t xml:space="preserve"> and conservation, a range of transnational policy actors have developed activities and initiatives aimed at protecting and promoting the rights of Indigenous and forest-dependent communities in the context of REDD+ readiness activities.</w:t>
      </w:r>
      <w:r w:rsidR="00AF1BB8" w:rsidRPr="001D1CA1">
        <w:rPr>
          <w:rStyle w:val="FootnoteReference"/>
          <w:bCs/>
        </w:rPr>
        <w:footnoteReference w:id="17"/>
      </w:r>
      <w:r w:rsidR="005E441E" w:rsidRPr="001D1CA1">
        <w:rPr>
          <w:bCs/>
        </w:rPr>
        <w:t xml:space="preserve"> </w:t>
      </w:r>
      <w:r w:rsidR="0018759F" w:rsidRPr="001D1CA1">
        <w:rPr>
          <w:bCs/>
        </w:rPr>
        <w:t>Yet,</w:t>
      </w:r>
      <w:r w:rsidR="00AF1BB8" w:rsidRPr="001D1CA1">
        <w:rPr>
          <w:bCs/>
        </w:rPr>
        <w:t xml:space="preserve"> </w:t>
      </w:r>
      <w:r w:rsidR="00AF1BB8" w:rsidRPr="001D1CA1">
        <w:t xml:space="preserve">as </w:t>
      </w:r>
      <w:r w:rsidR="00277326" w:rsidRPr="001D1CA1">
        <w:t xml:space="preserve">the </w:t>
      </w:r>
      <w:r w:rsidR="00AF1BB8" w:rsidRPr="001D1CA1">
        <w:t>literature</w:t>
      </w:r>
      <w:r w:rsidR="00277326" w:rsidRPr="001D1CA1">
        <w:t xml:space="preserve"> review</w:t>
      </w:r>
      <w:r w:rsidR="00AF1BB8" w:rsidRPr="001D1CA1">
        <w:t xml:space="preserve"> </w:t>
      </w:r>
      <w:r w:rsidR="00277326" w:rsidRPr="001D1CA1">
        <w:t>evinces below</w:t>
      </w:r>
      <w:r w:rsidR="00AF1BB8" w:rsidRPr="001D1CA1">
        <w:t xml:space="preserve">, most scholars expect the domestic operationalization of a REDD+ mechanism to have largely negative implications for the rights of </w:t>
      </w:r>
      <w:r w:rsidR="00AF1BB8" w:rsidRPr="001D1CA1">
        <w:rPr>
          <w:bCs/>
        </w:rPr>
        <w:t>Indigenous and forest-dependent communities</w:t>
      </w:r>
      <w:r w:rsidR="008E5D5E" w:rsidRPr="001D1CA1">
        <w:t xml:space="preserve"> </w:t>
      </w:r>
      <w:r w:rsidR="00277326" w:rsidRPr="001D1CA1">
        <w:t xml:space="preserve">and view </w:t>
      </w:r>
      <w:r w:rsidR="0018759F" w:rsidRPr="001D1CA1">
        <w:t xml:space="preserve">transnational policy actors </w:t>
      </w:r>
      <w:r w:rsidR="00AF1BB8" w:rsidRPr="001D1CA1">
        <w:t xml:space="preserve">as </w:t>
      </w:r>
      <w:r w:rsidR="00277326" w:rsidRPr="001D1CA1">
        <w:t xml:space="preserve">lacking the interests or capabilities to </w:t>
      </w:r>
      <w:r w:rsidR="00802C75" w:rsidRPr="001D1CA1">
        <w:t>ensure respect for</w:t>
      </w:r>
      <w:r w:rsidR="00277326" w:rsidRPr="001D1CA1">
        <w:t xml:space="preserve"> the rights of these communities</w:t>
      </w:r>
      <w:r w:rsidR="00AF1BB8" w:rsidRPr="001D1CA1">
        <w:t>.</w:t>
      </w:r>
      <w:r w:rsidR="0018759F" w:rsidRPr="001D1CA1">
        <w:t xml:space="preserve"> </w:t>
      </w:r>
      <w:r w:rsidR="00802C75" w:rsidRPr="001D1CA1">
        <w:t>As a result, understanding</w:t>
      </w:r>
      <w:r w:rsidR="008D2A63" w:rsidRPr="001D1CA1">
        <w:t xml:space="preserve"> the implications of </w:t>
      </w:r>
      <w:r w:rsidR="00512DFF" w:rsidRPr="001D1CA1">
        <w:t>the REDD+ readiness phase</w:t>
      </w:r>
      <w:r w:rsidR="008D2A63" w:rsidRPr="001D1CA1">
        <w:t xml:space="preserve"> for the rights of Indigenous and forest-dependent peoples</w:t>
      </w:r>
      <w:r w:rsidR="00140E9D" w:rsidRPr="001D1CA1">
        <w:t xml:space="preserve"> </w:t>
      </w:r>
      <w:r w:rsidR="008D2A63" w:rsidRPr="001D1CA1">
        <w:t>provides an important opportunity to</w:t>
      </w:r>
      <w:r w:rsidR="00802C75" w:rsidRPr="001D1CA1">
        <w:t xml:space="preserve"> probe</w:t>
      </w:r>
      <w:r w:rsidR="00AB3BA7" w:rsidRPr="001D1CA1">
        <w:t xml:space="preserve"> the</w:t>
      </w:r>
      <w:r w:rsidR="00802C75" w:rsidRPr="001D1CA1">
        <w:t xml:space="preserve"> influence of transnational policy actors as well as explore the ethical questions raised by their involvement in domestic policy processes.</w:t>
      </w:r>
      <w:r w:rsidR="00901363" w:rsidRPr="001D1CA1">
        <w:t xml:space="preserve"> </w:t>
      </w:r>
    </w:p>
    <w:p w14:paraId="05701803" w14:textId="77777777" w:rsidR="007E56A0" w:rsidRPr="001D1CA1" w:rsidRDefault="007E56A0" w:rsidP="009F4955"/>
    <w:p w14:paraId="2CD9529F" w14:textId="458B30FE" w:rsidR="003F7CFA" w:rsidRPr="001D1CA1" w:rsidRDefault="000D01D3" w:rsidP="009F4955">
      <w:r>
        <w:t xml:space="preserve">In this </w:t>
      </w:r>
      <w:r w:rsidR="00585F84" w:rsidRPr="001D1CA1">
        <w:t>paper</w:t>
      </w:r>
      <w:r>
        <w:t>, I seek</w:t>
      </w:r>
      <w:r w:rsidR="003D4971" w:rsidRPr="001D1CA1">
        <w:t xml:space="preserve"> to</w:t>
      </w:r>
      <w:r w:rsidR="00313DE2" w:rsidRPr="001D1CA1">
        <w:t xml:space="preserve"> provide </w:t>
      </w:r>
      <w:r w:rsidR="00742765">
        <w:t xml:space="preserve">some preliminary thinking on </w:t>
      </w:r>
      <w:r w:rsidR="00313DE2" w:rsidRPr="001D1CA1">
        <w:t xml:space="preserve">the potential role and influence of transnational policy actors </w:t>
      </w:r>
      <w:r>
        <w:t>on</w:t>
      </w:r>
      <w:r w:rsidR="00313DE2" w:rsidRPr="001D1CA1">
        <w:t xml:space="preserve"> REDD+ policy development</w:t>
      </w:r>
      <w:r>
        <w:t xml:space="preserve"> in developing countries as it</w:t>
      </w:r>
      <w:r w:rsidR="00313DE2" w:rsidRPr="001D1CA1">
        <w:t xml:space="preserve"> </w:t>
      </w:r>
      <w:r>
        <w:t>relates to</w:t>
      </w:r>
      <w:r w:rsidR="00313DE2" w:rsidRPr="001D1CA1">
        <w:t xml:space="preserve"> the rights of Indi</w:t>
      </w:r>
      <w:r w:rsidR="004135BE" w:rsidRPr="001D1CA1">
        <w:t>genous and local communities. My analysis</w:t>
      </w:r>
      <w:r w:rsidR="00313DE2" w:rsidRPr="001D1CA1">
        <w:t xml:space="preserve"> proceeds as follows.</w:t>
      </w:r>
      <w:r w:rsidR="004135BE" w:rsidRPr="001D1CA1">
        <w:t xml:space="preserve"> </w:t>
      </w:r>
      <w:r w:rsidR="004135BE" w:rsidRPr="001D1CA1">
        <w:rPr>
          <w:lang w:val="en-GB"/>
        </w:rPr>
        <w:t xml:space="preserve">In section 2, </w:t>
      </w:r>
      <w:r w:rsidR="007E56A0" w:rsidRPr="001D1CA1">
        <w:rPr>
          <w:bCs/>
          <w:lang w:val="en-GB"/>
        </w:rPr>
        <w:t xml:space="preserve">I provide an overview of the </w:t>
      </w:r>
      <w:r w:rsidR="00742765">
        <w:rPr>
          <w:bCs/>
          <w:lang w:val="en-GB"/>
        </w:rPr>
        <w:t xml:space="preserve">transnational </w:t>
      </w:r>
      <w:r w:rsidR="004135BE" w:rsidRPr="001D1CA1">
        <w:rPr>
          <w:bCs/>
          <w:lang w:val="en-GB"/>
        </w:rPr>
        <w:t xml:space="preserve">REDD+ readiness phase, including domestic readiness activities, domestic demonstration activities, and international readiness initiatives. </w:t>
      </w:r>
      <w:r w:rsidR="00313DE2" w:rsidRPr="001D1CA1">
        <w:t xml:space="preserve"> </w:t>
      </w:r>
      <w:r w:rsidR="004135BE" w:rsidRPr="001D1CA1">
        <w:t>In section 3, I</w:t>
      </w:r>
      <w:r w:rsidR="00D14F77" w:rsidRPr="001D1CA1">
        <w:t xml:space="preserve"> </w:t>
      </w:r>
      <w:r w:rsidR="00D14F77" w:rsidRPr="001D1CA1">
        <w:rPr>
          <w:bCs/>
          <w:lang w:val="en-GB"/>
        </w:rPr>
        <w:t xml:space="preserve">briefly discuss the existing literature on the </w:t>
      </w:r>
      <w:r w:rsidR="00742765">
        <w:rPr>
          <w:bCs/>
          <w:lang w:val="en-GB"/>
        </w:rPr>
        <w:t xml:space="preserve">potential implications of </w:t>
      </w:r>
      <w:r w:rsidR="00D14F77" w:rsidRPr="001D1CA1">
        <w:rPr>
          <w:bCs/>
          <w:lang w:val="en-GB"/>
        </w:rPr>
        <w:t>REDD+</w:t>
      </w:r>
      <w:r w:rsidR="00742765">
        <w:rPr>
          <w:bCs/>
          <w:lang w:val="en-GB"/>
        </w:rPr>
        <w:t xml:space="preserve"> readiness efforts</w:t>
      </w:r>
      <w:r w:rsidR="00D14F77" w:rsidRPr="001D1CA1">
        <w:rPr>
          <w:bCs/>
          <w:lang w:val="en-GB"/>
        </w:rPr>
        <w:t xml:space="preserve"> for the rights of Indigenous and local communities.</w:t>
      </w:r>
      <w:r w:rsidR="003D4971" w:rsidRPr="001D1CA1">
        <w:t xml:space="preserve"> </w:t>
      </w:r>
      <w:r w:rsidR="004135BE" w:rsidRPr="001D1CA1">
        <w:rPr>
          <w:bCs/>
          <w:lang w:val="en-GB"/>
        </w:rPr>
        <w:t>In section 4,</w:t>
      </w:r>
      <w:r w:rsidR="00D14F77" w:rsidRPr="001D1CA1">
        <w:rPr>
          <w:bCs/>
          <w:lang w:val="en-GB"/>
        </w:rPr>
        <w:t xml:space="preserve"> </w:t>
      </w:r>
      <w:r w:rsidR="004135BE" w:rsidRPr="001D1CA1">
        <w:rPr>
          <w:bCs/>
          <w:lang w:val="en-GB"/>
        </w:rPr>
        <w:t>I set</w:t>
      </w:r>
      <w:r w:rsidR="00D14F77" w:rsidRPr="001D1CA1">
        <w:rPr>
          <w:bCs/>
          <w:lang w:val="en-GB"/>
        </w:rPr>
        <w:t xml:space="preserve"> out an analytical framework that discusses the modes through which transnational policy actors may exert influence</w:t>
      </w:r>
      <w:r w:rsidR="004135BE" w:rsidRPr="001D1CA1">
        <w:rPr>
          <w:bCs/>
          <w:lang w:val="en-GB"/>
        </w:rPr>
        <w:t xml:space="preserve"> on domestic </w:t>
      </w:r>
      <w:r w:rsidR="00742765">
        <w:rPr>
          <w:bCs/>
          <w:lang w:val="en-GB"/>
        </w:rPr>
        <w:t xml:space="preserve">REDD+ </w:t>
      </w:r>
      <w:r w:rsidR="004135BE" w:rsidRPr="001D1CA1">
        <w:rPr>
          <w:bCs/>
          <w:lang w:val="en-GB"/>
        </w:rPr>
        <w:t>policy development</w:t>
      </w:r>
      <w:r w:rsidR="00742765">
        <w:rPr>
          <w:bCs/>
          <w:lang w:val="en-GB"/>
        </w:rPr>
        <w:t xml:space="preserve">, with examples focusing </w:t>
      </w:r>
      <w:r w:rsidR="002118BC" w:rsidRPr="001D1CA1">
        <w:rPr>
          <w:bCs/>
          <w:lang w:val="en-GB"/>
        </w:rPr>
        <w:t xml:space="preserve">on </w:t>
      </w:r>
      <w:r w:rsidR="004135BE" w:rsidRPr="001D1CA1">
        <w:rPr>
          <w:bCs/>
          <w:lang w:val="en-GB"/>
        </w:rPr>
        <w:t xml:space="preserve">the rights of Indigenous and local communities. In section 5, I conclude by reflecting on what further empirical research on the REDD+ readiness phase can tell us about </w:t>
      </w:r>
      <w:r w:rsidR="00BC45F9" w:rsidRPr="001D1CA1">
        <w:t xml:space="preserve">our understanding of </w:t>
      </w:r>
      <w:r w:rsidR="00936A7E" w:rsidRPr="001D1CA1">
        <w:t>transnational</w:t>
      </w:r>
      <w:r w:rsidR="0033296A" w:rsidRPr="001D1CA1">
        <w:t xml:space="preserve"> governance and policy, </w:t>
      </w:r>
      <w:r w:rsidR="0052061B" w:rsidRPr="001D1CA1">
        <w:t xml:space="preserve">the protection and promotion of human rights, and </w:t>
      </w:r>
      <w:r w:rsidR="00B97153" w:rsidRPr="001D1CA1">
        <w:t>issue linkages at the intersections of human rights and environmental governance.</w:t>
      </w:r>
    </w:p>
    <w:p w14:paraId="5B2EC63C" w14:textId="77777777" w:rsidR="00914F47" w:rsidRPr="001D1CA1" w:rsidRDefault="00914F47" w:rsidP="009F4955"/>
    <w:p w14:paraId="47820401" w14:textId="0E69CA43" w:rsidR="005361B4" w:rsidRPr="001D1CA1" w:rsidRDefault="001663C0" w:rsidP="009F4955">
      <w:pPr>
        <w:pStyle w:val="Heading2"/>
        <w:rPr>
          <w:smallCaps w:val="0"/>
        </w:rPr>
      </w:pPr>
      <w:r w:rsidRPr="001D1CA1">
        <w:rPr>
          <w:smallCaps w:val="0"/>
        </w:rPr>
        <w:t xml:space="preserve">2. </w:t>
      </w:r>
      <w:r w:rsidR="007E56A0" w:rsidRPr="001D1CA1">
        <w:rPr>
          <w:smallCaps w:val="0"/>
        </w:rPr>
        <w:t>An Overview of the</w:t>
      </w:r>
      <w:r w:rsidR="005361B4" w:rsidRPr="001D1CA1">
        <w:rPr>
          <w:smallCaps w:val="0"/>
        </w:rPr>
        <w:t xml:space="preserve"> Transnational REDD+ Readiness Phase</w:t>
      </w:r>
    </w:p>
    <w:p w14:paraId="6833D639" w14:textId="77777777" w:rsidR="00DB4A34" w:rsidRPr="001D1CA1" w:rsidRDefault="00DB4A34" w:rsidP="009F4955">
      <w:pPr>
        <w:rPr>
          <w:rFonts w:cs="Times New Roman"/>
          <w:i/>
        </w:rPr>
      </w:pPr>
    </w:p>
    <w:p w14:paraId="4453B4BF" w14:textId="1F73336E" w:rsidR="005361B4" w:rsidRPr="001D1CA1" w:rsidRDefault="005361B4" w:rsidP="009F4955">
      <w:pPr>
        <w:rPr>
          <w:rFonts w:cs="Times New Roman"/>
          <w:i/>
        </w:rPr>
      </w:pPr>
      <w:r w:rsidRPr="001D1CA1">
        <w:rPr>
          <w:rFonts w:cs="Times New Roman"/>
          <w:i/>
        </w:rPr>
        <w:t>Domestic REDD+ Readiness Activities</w:t>
      </w:r>
    </w:p>
    <w:p w14:paraId="5A49DBCD" w14:textId="5DCDACB8" w:rsidR="005361B4" w:rsidRPr="001D1CA1" w:rsidRDefault="005361B4" w:rsidP="009F4955">
      <w:pPr>
        <w:rPr>
          <w:rFonts w:cs="Times New Roman"/>
          <w:bCs/>
        </w:rPr>
      </w:pPr>
      <w:r w:rsidRPr="001D1CA1">
        <w:rPr>
          <w:rFonts w:cs="Times New Roman"/>
          <w:bCs/>
        </w:rPr>
        <w:t xml:space="preserve">The </w:t>
      </w:r>
      <w:r w:rsidRPr="001D1CA1">
        <w:rPr>
          <w:rFonts w:cs="Times New Roman"/>
          <w:bCs/>
          <w:i/>
        </w:rPr>
        <w:t>Cancun Agreements</w:t>
      </w:r>
      <w:r w:rsidRPr="001D1CA1">
        <w:rPr>
          <w:rFonts w:cs="Times New Roman"/>
          <w:bCs/>
        </w:rPr>
        <w:t xml:space="preserve"> provide that any country interested in participating in an eventual RE</w:t>
      </w:r>
      <w:r w:rsidR="00DB4A34" w:rsidRPr="001D1CA1">
        <w:rPr>
          <w:rFonts w:cs="Times New Roman"/>
          <w:bCs/>
        </w:rPr>
        <w:t>DD+ mechanism must develop four</w:t>
      </w:r>
      <w:r w:rsidRPr="001D1CA1">
        <w:rPr>
          <w:rFonts w:cs="Times New Roman"/>
          <w:bCs/>
        </w:rPr>
        <w:t xml:space="preserve"> elements as part of their readiness activities: </w:t>
      </w:r>
      <w:r w:rsidR="00DB4A34" w:rsidRPr="001D1CA1">
        <w:rPr>
          <w:bCs/>
        </w:rPr>
        <w:t>a national strategy or action plan, a national or sub-national forest reference emission level, a robust and transparent national forest system for the monitoring and reporting of REDD+ activities, and a reporting system for social and environmental safeguards</w:t>
      </w:r>
      <w:r w:rsidRPr="001D1CA1">
        <w:rPr>
          <w:rFonts w:cs="Times New Roman"/>
          <w:bCs/>
        </w:rPr>
        <w:t>.</w:t>
      </w:r>
      <w:r w:rsidRPr="001D1CA1">
        <w:rPr>
          <w:rStyle w:val="FootnoteReference"/>
          <w:rFonts w:cs="Times New Roman"/>
          <w:bCs/>
        </w:rPr>
        <w:footnoteReference w:id="18"/>
      </w:r>
      <w:r w:rsidRPr="001D1CA1">
        <w:rPr>
          <w:rFonts w:cs="Times New Roman"/>
          <w:bCs/>
        </w:rPr>
        <w:t xml:space="preserve"> </w:t>
      </w:r>
    </w:p>
    <w:p w14:paraId="5E822E33" w14:textId="77777777" w:rsidR="005361B4" w:rsidRPr="001D1CA1" w:rsidRDefault="005361B4" w:rsidP="009F4955">
      <w:pPr>
        <w:rPr>
          <w:rFonts w:cs="Times New Roman"/>
          <w:bCs/>
        </w:rPr>
      </w:pPr>
    </w:p>
    <w:p w14:paraId="4333357E" w14:textId="77777777" w:rsidR="005361B4" w:rsidRPr="001D1CA1" w:rsidRDefault="005361B4" w:rsidP="009F4955">
      <w:pPr>
        <w:rPr>
          <w:rFonts w:cs="Times New Roman"/>
          <w:bCs/>
        </w:rPr>
      </w:pPr>
      <w:r w:rsidRPr="001D1CA1">
        <w:rPr>
          <w:rFonts w:cs="Times New Roman"/>
          <w:bCs/>
        </w:rPr>
        <w:t>To begin with, developing countries must adopt a national REDD+ strategy or action plan to guide their readiness efforts.</w:t>
      </w:r>
      <w:r w:rsidRPr="001D1CA1">
        <w:rPr>
          <w:rStyle w:val="FootnoteReference"/>
          <w:rFonts w:cs="Times New Roman"/>
          <w:bCs/>
        </w:rPr>
        <w:footnoteReference w:id="19"/>
      </w:r>
      <w:r w:rsidRPr="001D1CA1">
        <w:rPr>
          <w:rFonts w:cs="Times New Roman"/>
          <w:bCs/>
        </w:rPr>
        <w:t xml:space="preserve"> A typical national REDD+ strategy lays out a multi-year programme of strategic planning, research and analysis, public consultations, capacity-</w:t>
      </w:r>
      <w:r w:rsidRPr="001D1CA1">
        <w:rPr>
          <w:rFonts w:cs="Times New Roman"/>
          <w:bCs/>
        </w:rPr>
        <w:lastRenderedPageBreak/>
        <w:t>building and training, policy measures, and institutional reform, as well as a related set of demonstration projects. The outcomes of a given national REDD+ strategy would normally include the adoption of new national laws, policies, and regulations, the creation of new institutions, and the development of new capacities and capabilities.</w:t>
      </w:r>
      <w:r w:rsidRPr="001D1CA1">
        <w:rPr>
          <w:rStyle w:val="FootnoteReference"/>
          <w:rFonts w:cs="Times New Roman"/>
          <w:bCs/>
        </w:rPr>
        <w:footnoteReference w:id="20"/>
      </w:r>
      <w:r w:rsidRPr="001D1CA1">
        <w:rPr>
          <w:rFonts w:cs="Times New Roman"/>
          <w:bCs/>
        </w:rPr>
        <w:t xml:space="preserve"> As such, the development of a national REDD+ strategy must focus on the broad variety of intersecting institutional, policy, and legal issues that must be addressed to ensure that a country is prepared to participate in an eventual REDD+ mechanism, including, as specified by the </w:t>
      </w:r>
      <w:r w:rsidRPr="001D1CA1">
        <w:rPr>
          <w:rFonts w:cs="Times New Roman"/>
          <w:bCs/>
          <w:i/>
        </w:rPr>
        <w:t>Cancun Agreements</w:t>
      </w:r>
      <w:r w:rsidRPr="001D1CA1">
        <w:rPr>
          <w:rFonts w:cs="Times New Roman"/>
          <w:bCs/>
        </w:rPr>
        <w:t xml:space="preserve">, “drivers of deforestation and forest degradation, land tenure issues, forest governance issues, gender considerations and [environmental and social safeguards], ensuring the full and effective participation of relevant stakeholders, </w:t>
      </w:r>
      <w:r w:rsidRPr="001D1CA1">
        <w:rPr>
          <w:rFonts w:cs="Times New Roman"/>
          <w:bCs/>
          <w:i/>
        </w:rPr>
        <w:t>inter alia</w:t>
      </w:r>
      <w:r w:rsidRPr="001D1CA1">
        <w:rPr>
          <w:rFonts w:cs="Times New Roman"/>
          <w:bCs/>
        </w:rPr>
        <w:t>, indigenous peoples and local communities.”</w:t>
      </w:r>
      <w:r w:rsidRPr="001D1CA1">
        <w:rPr>
          <w:rStyle w:val="FootnoteReference"/>
          <w:rFonts w:cs="Times New Roman"/>
          <w:bCs/>
        </w:rPr>
        <w:footnoteReference w:id="21"/>
      </w:r>
      <w:r w:rsidRPr="001D1CA1">
        <w:rPr>
          <w:rFonts w:cs="Times New Roman"/>
          <w:bCs/>
        </w:rPr>
        <w:t>In other words, a national REDD+ strategy should provide</w:t>
      </w:r>
      <w:r w:rsidRPr="001D1CA1">
        <w:rPr>
          <w:rFonts w:cs="Times New Roman"/>
        </w:rPr>
        <w:t xml:space="preserve"> developing countries with the opportunity to </w:t>
      </w:r>
      <w:r w:rsidRPr="001D1CA1">
        <w:rPr>
          <w:rFonts w:cs="Times New Roman"/>
          <w:bCs/>
        </w:rPr>
        <w:t>design a tailored framework for national REDD+ governance.</w:t>
      </w:r>
      <w:r w:rsidRPr="001D1CA1">
        <w:rPr>
          <w:rStyle w:val="FootnoteReference"/>
          <w:rFonts w:cs="Times New Roman"/>
          <w:bCs/>
        </w:rPr>
        <w:footnoteReference w:id="22"/>
      </w:r>
      <w:r w:rsidRPr="001D1CA1">
        <w:rPr>
          <w:rFonts w:cs="Times New Roman"/>
          <w:bCs/>
        </w:rPr>
        <w:t xml:space="preserve"> </w:t>
      </w:r>
    </w:p>
    <w:p w14:paraId="1E97E9E2" w14:textId="77777777" w:rsidR="005361B4" w:rsidRPr="001D1CA1" w:rsidRDefault="005361B4" w:rsidP="009F4955">
      <w:pPr>
        <w:rPr>
          <w:rFonts w:cs="Times New Roman"/>
          <w:bCs/>
        </w:rPr>
      </w:pPr>
    </w:p>
    <w:p w14:paraId="44F4450A" w14:textId="77777777" w:rsidR="005361B4" w:rsidRPr="001D1CA1" w:rsidRDefault="005361B4" w:rsidP="009F4955">
      <w:pPr>
        <w:rPr>
          <w:rFonts w:cs="Times New Roman"/>
          <w:bCs/>
        </w:rPr>
      </w:pPr>
      <w:r w:rsidRPr="001D1CA1">
        <w:rPr>
          <w:rFonts w:cs="Times New Roman"/>
          <w:bCs/>
        </w:rPr>
        <w:t xml:space="preserve">The starting point of any such framework for REDD+ governance concerns the selection of a payment system specifying the modalities through which international payments from a REDD+ mechanism should be channelled and distributed at the domestic level. </w:t>
      </w:r>
      <w:r w:rsidRPr="001D1CA1">
        <w:rPr>
          <w:rFonts w:cs="Times New Roman"/>
        </w:rPr>
        <w:t>In general, such a system must strive to ensure that payments from REDD+ are redirected in a manner that is both effective (in that it leads to emissions reductions) as well as equitable (in that it compensates local communities for their positive contributions and alleviates poverty).</w:t>
      </w:r>
      <w:bookmarkStart w:id="7" w:name="_Ref227654319"/>
      <w:r w:rsidRPr="001D1CA1">
        <w:rPr>
          <w:rStyle w:val="FootnoteReference"/>
          <w:rFonts w:cs="Times New Roman"/>
        </w:rPr>
        <w:footnoteReference w:id="23"/>
      </w:r>
      <w:bookmarkEnd w:id="7"/>
      <w:r w:rsidRPr="001D1CA1">
        <w:rPr>
          <w:rFonts w:cs="Times New Roman"/>
          <w:bCs/>
        </w:rPr>
        <w:t xml:space="preserve"> Broadly speaking, there are four model payment systems.</w:t>
      </w:r>
      <w:r w:rsidRPr="001D1CA1">
        <w:rPr>
          <w:rStyle w:val="FootnoteReference"/>
          <w:rFonts w:cs="Times New Roman"/>
        </w:rPr>
        <w:footnoteReference w:id="24"/>
      </w:r>
      <w:r w:rsidRPr="001D1CA1">
        <w:rPr>
          <w:rFonts w:cs="Times New Roman"/>
          <w:bCs/>
        </w:rPr>
        <w:t xml:space="preserve"> First, payments could be channelled to a government’s general budget, in which case the government would be expected to redirect funds to sectors and communities to achieve emissions reductions and distribute benefits generated therefrom. Second, payments could be channelled through an independent national fund managed by both governmental and non-governmental representatives and undertaking its own REDD+ activities or funding REDD+ activities pursued by other actors. Third, payments could be made to a national fund under the direct control and administration of the government and could thereby support governmental as well as non-governmental REDD+ activities. Finally, payments could flow directly to sub-national projects in a PES system or within the context of conditional aid funding arrangements. A related issue concerns the way in which benefits from REDD+ should be accessed and distributed within a country to compensate forest users for any opportunity costs, support sustainable livelihoods or alleviate rural poverty.</w:t>
      </w:r>
      <w:bookmarkStart w:id="8" w:name="_Ref227652113"/>
      <w:r w:rsidRPr="001D1CA1">
        <w:rPr>
          <w:rStyle w:val="FootnoteReference"/>
          <w:rFonts w:cs="Times New Roman"/>
          <w:bCs/>
        </w:rPr>
        <w:footnoteReference w:id="25"/>
      </w:r>
      <w:bookmarkEnd w:id="8"/>
      <w:r w:rsidRPr="001D1CA1">
        <w:rPr>
          <w:rFonts w:cs="Times New Roman"/>
          <w:bCs/>
        </w:rPr>
        <w:t xml:space="preserve"> Whereas benefit sharing is a necessary feature of any PES system, it remains an open question in other payment systems and could be achieved through the pursuit of particular programmes and projects incorporating PES, participatory forest management (PFM), community-based forest </w:t>
      </w:r>
      <w:r w:rsidRPr="001D1CA1">
        <w:rPr>
          <w:rFonts w:cs="Times New Roman"/>
          <w:bCs/>
        </w:rPr>
        <w:lastRenderedPageBreak/>
        <w:t xml:space="preserve">management (CBFM), forest concession revenue sharing or </w:t>
      </w:r>
      <w:r w:rsidRPr="001D1CA1">
        <w:rPr>
          <w:rFonts w:cs="Times New Roman"/>
          <w:bCs/>
          <w:lang w:val="en-US"/>
        </w:rPr>
        <w:t>integrated conservation and development projects (ICDP)</w:t>
      </w:r>
      <w:r w:rsidRPr="001D1CA1">
        <w:rPr>
          <w:rFonts w:cs="Times New Roman"/>
          <w:bCs/>
        </w:rPr>
        <w:t>.</w:t>
      </w:r>
      <w:r w:rsidRPr="001D1CA1">
        <w:rPr>
          <w:rStyle w:val="FootnoteReference"/>
          <w:rFonts w:cs="Times New Roman"/>
          <w:bCs/>
        </w:rPr>
        <w:t xml:space="preserve"> </w:t>
      </w:r>
      <w:r w:rsidRPr="001D1CA1">
        <w:rPr>
          <w:rStyle w:val="FootnoteReference"/>
          <w:rFonts w:cs="Times New Roman"/>
          <w:bCs/>
        </w:rPr>
        <w:footnoteReference w:id="26"/>
      </w:r>
    </w:p>
    <w:p w14:paraId="6A09647A" w14:textId="77777777" w:rsidR="005361B4" w:rsidRPr="001D1CA1" w:rsidRDefault="005361B4" w:rsidP="009F4955">
      <w:pPr>
        <w:rPr>
          <w:rFonts w:cs="Times New Roman"/>
          <w:bCs/>
        </w:rPr>
      </w:pPr>
    </w:p>
    <w:p w14:paraId="621A639F" w14:textId="54A41CD4" w:rsidR="005361B4" w:rsidRPr="001D1CA1" w:rsidRDefault="005361B4" w:rsidP="009F4955">
      <w:pPr>
        <w:rPr>
          <w:rFonts w:cs="Times New Roman"/>
          <w:bCs/>
        </w:rPr>
      </w:pPr>
      <w:r w:rsidRPr="001D1CA1">
        <w:rPr>
          <w:rFonts w:cs="Times New Roman"/>
          <w:bCs/>
        </w:rPr>
        <w:t>Another set of issues that must be addressed as part of a framework for national REDD+ governance relates to land, forest, and carbon rights and tenure. In a system in which REDD+ activities are undertaken and credited at the project level, the clarification, creation or allocation of property rights over the carbon contained in forests is essential. The existence of such private carbon rights makes it possible to convert reductions in carbon emissions or increases in carbon stocks achieved through REDD+ activities into credits that can be traded on global carbon markets.</w:t>
      </w:r>
      <w:r w:rsidRPr="001D1CA1">
        <w:rPr>
          <w:rStyle w:val="FootnoteReference"/>
          <w:rFonts w:cs="Times New Roman"/>
        </w:rPr>
        <w:footnoteReference w:id="27"/>
      </w:r>
      <w:r w:rsidRPr="001D1CA1">
        <w:rPr>
          <w:rFonts w:cs="Times New Roman"/>
          <w:bCs/>
        </w:rPr>
        <w:t xml:space="preserve"> Conversely, a lack of clarity over the ownership of carbon rights under national law creates significant uncertainty over the financial value, if any, that can be attributed to emissions reductions generated through a particular REDD+ project.</w:t>
      </w:r>
      <w:bookmarkStart w:id="9" w:name="_Ref215904708"/>
      <w:r w:rsidRPr="001D1CA1">
        <w:rPr>
          <w:rStyle w:val="FootnoteReference"/>
          <w:rFonts w:cs="Times New Roman"/>
          <w:bCs/>
        </w:rPr>
        <w:footnoteReference w:id="28"/>
      </w:r>
      <w:bookmarkEnd w:id="9"/>
      <w:r w:rsidRPr="001D1CA1">
        <w:rPr>
          <w:rFonts w:cs="Times New Roman"/>
          <w:bCs/>
        </w:rPr>
        <w:t xml:space="preserve"> While a system that excludes private transactions and favours broader policy interventions </w:t>
      </w:r>
      <w:r w:rsidRPr="001D1CA1">
        <w:rPr>
          <w:rFonts w:cs="Times New Roman"/>
        </w:rPr>
        <w:t>may not require the establishment of a legal title over carbon, it will nonetheless be necessary to clarify issues relating to forest rights and tenure for mitigation activities to take place.</w:t>
      </w:r>
      <w:r w:rsidRPr="001D1CA1">
        <w:rPr>
          <w:rStyle w:val="FootnoteReference"/>
          <w:rFonts w:cs="Times New Roman"/>
        </w:rPr>
        <w:footnoteReference w:id="29"/>
      </w:r>
      <w:r w:rsidRPr="001D1CA1">
        <w:rPr>
          <w:rFonts w:cs="Times New Roman"/>
        </w:rPr>
        <w:t xml:space="preserve"> Indeed, to the extent that the domestic implementation of REDD+ entails changes to land and forest use and governance, it requires consideration of the land, forest tenure, and access rights of Indigenous and local communities.</w:t>
      </w:r>
      <w:bookmarkStart w:id="10" w:name="_Ref216936875"/>
      <w:r w:rsidRPr="001D1CA1">
        <w:rPr>
          <w:rStyle w:val="FootnoteReference"/>
          <w:rFonts w:cs="Times New Roman"/>
          <w:bCs/>
        </w:rPr>
        <w:footnoteReference w:id="30"/>
      </w:r>
      <w:bookmarkEnd w:id="10"/>
    </w:p>
    <w:p w14:paraId="296CC7BE" w14:textId="77777777" w:rsidR="005361B4" w:rsidRPr="001D1CA1" w:rsidRDefault="005361B4" w:rsidP="009F4955">
      <w:pPr>
        <w:rPr>
          <w:rFonts w:cs="Times New Roman"/>
          <w:bCs/>
        </w:rPr>
      </w:pPr>
    </w:p>
    <w:p w14:paraId="4D379CF6" w14:textId="77777777" w:rsidR="005361B4" w:rsidRPr="001D1CA1" w:rsidRDefault="005361B4" w:rsidP="009F4955">
      <w:pPr>
        <w:rPr>
          <w:rFonts w:cs="Times New Roman"/>
          <w:bCs/>
        </w:rPr>
      </w:pPr>
      <w:r w:rsidRPr="001D1CA1">
        <w:rPr>
          <w:rFonts w:cs="Times New Roman"/>
        </w:rPr>
        <w:t xml:space="preserve">The sensitivity of benefit-sharing and land rights and tenure reform both underscore the importance of a third component of any REDD+ governance framework – the need for processes that ensure </w:t>
      </w:r>
      <w:r w:rsidRPr="001D1CA1">
        <w:rPr>
          <w:rFonts w:cs="Times New Roman"/>
          <w:bCs/>
        </w:rPr>
        <w:t>the full and effective participation of relevant stakeholders, including indigenous peoples and local communities.</w:t>
      </w:r>
      <w:r w:rsidRPr="001D1CA1">
        <w:rPr>
          <w:rStyle w:val="FootnoteReference"/>
          <w:rFonts w:cs="Times New Roman"/>
          <w:bCs/>
        </w:rPr>
        <w:footnoteReference w:id="31"/>
      </w:r>
      <w:r w:rsidRPr="001D1CA1">
        <w:rPr>
          <w:rFonts w:cs="Times New Roman"/>
          <w:bCs/>
        </w:rPr>
        <w:t xml:space="preserve"> </w:t>
      </w:r>
      <w:r w:rsidRPr="001D1CA1">
        <w:rPr>
          <w:rFonts w:cs="Times New Roman"/>
        </w:rPr>
        <w:t>Given the economic, social, and environmental importance of forests in developing countries and the transformative potential of REDD+, REDD+ readiness activities have important multi-actor and multi-scale dimensions that require both horizontal and vertical forms of coordination.</w:t>
      </w:r>
      <w:r w:rsidRPr="001D1CA1">
        <w:rPr>
          <w:rStyle w:val="FootnoteReference"/>
          <w:rFonts w:cs="Times New Roman"/>
          <w:bCs/>
        </w:rPr>
        <w:footnoteReference w:id="32"/>
      </w:r>
      <w:r w:rsidRPr="001D1CA1">
        <w:rPr>
          <w:rFonts w:cs="Times New Roman"/>
        </w:rPr>
        <w:t xml:space="preserve"> As Forsyth explains, the need for effective forms of multi-actor governance is especially important when there are competing ideas and interests concerning forest and land use. In his view, REDD+ “can succeed if stakeholders share a common understanding of appropriate forest and land use, a shared and trusted way of negotiating agreements about REDD+, and if local users derive co-benefits.”</w:t>
      </w:r>
      <w:r w:rsidRPr="001D1CA1">
        <w:rPr>
          <w:rStyle w:val="FootnoteReference"/>
          <w:rFonts w:cs="Times New Roman"/>
        </w:rPr>
        <w:footnoteReference w:id="33"/>
      </w:r>
      <w:r w:rsidRPr="001D1CA1">
        <w:rPr>
          <w:rFonts w:cs="Times New Roman"/>
        </w:rPr>
        <w:t xml:space="preserve"> Yet, as </w:t>
      </w:r>
      <w:r w:rsidRPr="001D1CA1">
        <w:rPr>
          <w:rFonts w:cs="Times New Roman"/>
          <w:szCs w:val="20"/>
        </w:rPr>
        <w:t>Peskett and Brockhaus point out, setting up consultation and engagement processes for REDD+ is a challenging endeavour in most countries, in light of the poor performance of existing democratic processes and the history of mistrust that exists between government officials and local communities.</w:t>
      </w:r>
      <w:r w:rsidRPr="001D1CA1">
        <w:rPr>
          <w:rStyle w:val="FootnoteReference"/>
          <w:rFonts w:cs="Times New Roman"/>
          <w:szCs w:val="20"/>
        </w:rPr>
        <w:footnoteReference w:id="34"/>
      </w:r>
    </w:p>
    <w:p w14:paraId="698D7A82" w14:textId="77777777" w:rsidR="005361B4" w:rsidRPr="001D1CA1" w:rsidRDefault="005361B4" w:rsidP="009F4955">
      <w:pPr>
        <w:rPr>
          <w:rFonts w:cs="Times New Roman"/>
          <w:bCs/>
          <w:highlight w:val="yellow"/>
        </w:rPr>
      </w:pPr>
    </w:p>
    <w:p w14:paraId="73A1B1B4" w14:textId="77777777" w:rsidR="005361B4" w:rsidRPr="001D1CA1" w:rsidRDefault="005361B4" w:rsidP="009F4955">
      <w:pPr>
        <w:rPr>
          <w:rFonts w:cs="Times New Roman"/>
          <w:bCs/>
        </w:rPr>
      </w:pPr>
      <w:r w:rsidRPr="001D1CA1">
        <w:rPr>
          <w:rFonts w:cs="Times New Roman"/>
          <w:bCs/>
        </w:rPr>
        <w:t xml:space="preserve">Finally, a framework for national REDD+ governance must provide the conditions for establishing and maintaining a favourable institutional and policy environment for REDD+ activities. An enabling environment for REDD+ requires institutional mechanisms for addressing the various drivers of deforestation and developing policies that support, rather than hinder, the effectiveness of REDD+ activities. Indeed, in order to lead to reductions in deforestation and avoid the risk of leakage, </w:t>
      </w:r>
      <w:r w:rsidRPr="001D1CA1">
        <w:rPr>
          <w:rFonts w:cs="Times New Roman"/>
        </w:rPr>
        <w:t xml:space="preserve">REDD+ activities must be situated within a broader policy framework that ensures a certain level of coherence and coordination with other sectors such as agriculture, industry, infrastructure planning, and community development </w:t>
      </w:r>
      <w:r w:rsidRPr="001D1CA1">
        <w:rPr>
          <w:rFonts w:cs="Times New Roman"/>
          <w:bCs/>
        </w:rPr>
        <w:t>as part of a country’s broader low-carbon development, forest governance or poverty reduction efforts.</w:t>
      </w:r>
      <w:r w:rsidRPr="001D1CA1">
        <w:rPr>
          <w:rStyle w:val="FootnoteReference"/>
          <w:rFonts w:cs="Times New Roman"/>
        </w:rPr>
        <w:footnoteReference w:id="35"/>
      </w:r>
      <w:r w:rsidRPr="001D1CA1">
        <w:rPr>
          <w:rFonts w:cs="Times New Roman"/>
          <w:bCs/>
        </w:rPr>
        <w:t xml:space="preserve"> Another key prerequisite for REDD+ is the </w:t>
      </w:r>
      <w:r w:rsidRPr="001D1CA1">
        <w:rPr>
          <w:rFonts w:cs="Times New Roman"/>
        </w:rPr>
        <w:t>strengthening of forestry and other institutions, especially in terms of combatting corruption and ensuring the integrity of flows of information. Given the prevalence of corruption and poor governance in the forestry sector in developing countries, the challenges associated with institution-building and their potential implications for transforming patterns of resource management are considerable.</w:t>
      </w:r>
      <w:r w:rsidRPr="001D1CA1">
        <w:rPr>
          <w:rStyle w:val="FootnoteReference"/>
          <w:rFonts w:cs="Times New Roman"/>
        </w:rPr>
        <w:footnoteReference w:id="36"/>
      </w:r>
      <w:r w:rsidRPr="001D1CA1">
        <w:rPr>
          <w:rFonts w:cs="Times New Roman"/>
          <w:bCs/>
        </w:rPr>
        <w:t xml:space="preserve"> </w:t>
      </w:r>
    </w:p>
    <w:p w14:paraId="1D2B367C" w14:textId="77777777" w:rsidR="005361B4" w:rsidRPr="001D1CA1" w:rsidRDefault="005361B4" w:rsidP="009F4955">
      <w:pPr>
        <w:rPr>
          <w:rFonts w:cs="Times New Roman"/>
        </w:rPr>
      </w:pPr>
    </w:p>
    <w:p w14:paraId="51E0C1D3" w14:textId="253E4B26" w:rsidR="00680AB7" w:rsidRPr="001D1CA1" w:rsidRDefault="005361B4" w:rsidP="009F4955">
      <w:pPr>
        <w:rPr>
          <w:rFonts w:cs="Times New Roman"/>
          <w:bCs/>
        </w:rPr>
      </w:pPr>
      <w:r w:rsidRPr="001D1CA1">
        <w:rPr>
          <w:rFonts w:cs="Times New Roman"/>
          <w:bCs/>
        </w:rPr>
        <w:t>The second element that is critical to a country’s REDD+ readiness efforts is the establishment of a forest reference level, at the national or sub-national level, that can serve as the base-line against which results-based REDD+ activities may be undertaken.</w:t>
      </w:r>
      <w:r w:rsidRPr="001D1CA1">
        <w:rPr>
          <w:rStyle w:val="FootnoteReference"/>
          <w:rFonts w:cs="Times New Roman"/>
          <w:bCs/>
        </w:rPr>
        <w:footnoteReference w:id="37"/>
      </w:r>
      <w:r w:rsidR="00680AB7" w:rsidRPr="001D1CA1">
        <w:rPr>
          <w:rFonts w:cs="Times New Roman"/>
          <w:bCs/>
        </w:rPr>
        <w:t xml:space="preserve"> </w:t>
      </w:r>
      <w:r w:rsidR="00680AB7" w:rsidRPr="001D1CA1">
        <w:rPr>
          <w:bCs/>
        </w:rPr>
        <w:t>While numerous possible designs for setting forest reference levels exist, each shares a common set of substantive and procedural elements, including the scope of activities, the scale of accounting, carbon pools included, methodologies for calculation, and processes for submission, approval and review.</w:t>
      </w:r>
      <w:r w:rsidR="00680AB7" w:rsidRPr="001D1CA1">
        <w:rPr>
          <w:rStyle w:val="FootnoteReference"/>
          <w:bCs/>
        </w:rPr>
        <w:footnoteReference w:id="38"/>
      </w:r>
      <w:r w:rsidR="00680AB7" w:rsidRPr="001D1CA1">
        <w:rPr>
          <w:bCs/>
        </w:rPr>
        <w:t xml:space="preserve"> </w:t>
      </w:r>
    </w:p>
    <w:p w14:paraId="4DAC762F" w14:textId="77777777" w:rsidR="00680AB7" w:rsidRPr="001D1CA1" w:rsidRDefault="00680AB7" w:rsidP="009F4955">
      <w:pPr>
        <w:rPr>
          <w:rFonts w:cs="Times New Roman"/>
          <w:bCs/>
        </w:rPr>
      </w:pPr>
    </w:p>
    <w:p w14:paraId="6253A618" w14:textId="5D8A350A" w:rsidR="00D560E5" w:rsidRPr="001D1CA1" w:rsidRDefault="00DB4A34" w:rsidP="009F4955">
      <w:pPr>
        <w:rPr>
          <w:rFonts w:cs="Times New Roman"/>
        </w:rPr>
      </w:pPr>
      <w:r w:rsidRPr="001D1CA1">
        <w:rPr>
          <w:rFonts w:cs="Times New Roman"/>
          <w:bCs/>
        </w:rPr>
        <w:t>The third element of a</w:t>
      </w:r>
      <w:r w:rsidRPr="001D1CA1">
        <w:rPr>
          <w:rFonts w:cs="Times New Roman"/>
        </w:rPr>
        <w:t xml:space="preserve"> national REDD+ readiness programme</w:t>
      </w:r>
      <w:r w:rsidR="00680AB7" w:rsidRPr="001D1CA1">
        <w:rPr>
          <w:rFonts w:cs="Times New Roman"/>
        </w:rPr>
        <w:t xml:space="preserve"> is </w:t>
      </w:r>
      <w:r w:rsidR="00680AB7" w:rsidRPr="001D1CA1">
        <w:rPr>
          <w:rFonts w:cs="Times New Roman"/>
          <w:bCs/>
        </w:rPr>
        <w:t>the development of a “robust and transparent” national or sub-national system for monitoring, reporting, and verifying (MRV) results-based REDD+ activities.</w:t>
      </w:r>
      <w:r w:rsidR="00680AB7" w:rsidRPr="001D1CA1">
        <w:rPr>
          <w:rStyle w:val="FootnoteReference"/>
          <w:rFonts w:cs="Times New Roman"/>
          <w:bCs/>
        </w:rPr>
        <w:footnoteReference w:id="39"/>
      </w:r>
      <w:r w:rsidR="00F05C8C" w:rsidRPr="001D1CA1">
        <w:rPr>
          <w:rFonts w:cs="Times New Roman"/>
        </w:rPr>
        <w:t xml:space="preserve"> </w:t>
      </w:r>
      <w:r w:rsidR="00D560E5" w:rsidRPr="001D1CA1">
        <w:rPr>
          <w:rFonts w:cs="Times New Roman"/>
          <w:bCs/>
        </w:rPr>
        <w:t>Given that most developing countries lack the knowledge, capabilities, and technology to estimate and report forest carbon emissions and changes therein at the scale and degree of accuracy required for REDD+, this aspect of REDD+ readiness require a programme of capacity-building, research, and technology development and transfer that can take several years to complete.</w:t>
      </w:r>
      <w:r w:rsidR="00D560E5" w:rsidRPr="001D1CA1">
        <w:rPr>
          <w:rStyle w:val="FootnoteReference"/>
          <w:rFonts w:cs="Times New Roman"/>
        </w:rPr>
        <w:footnoteReference w:id="40"/>
      </w:r>
      <w:r w:rsidR="00D560E5" w:rsidRPr="001D1CA1">
        <w:rPr>
          <w:rFonts w:cs="Times New Roman"/>
          <w:bCs/>
        </w:rPr>
        <w:t xml:space="preserve"> While MRV systems would appear to be largely technical matters, they have significant implications for forest governance and policy. MRV systems will ultimately provide the information base upon which REDD+ interventions are initiated and managed and REDD+ payments are allocated and disbursed at various scales. In particular, ensuring that MRV systems operate with integrity, transparency, and credibility is “closely linked to the work areas on governance, stakeholder engagement, and equitable benefit sharing.”</w:t>
      </w:r>
      <w:bookmarkStart w:id="11" w:name="_Ref215828144"/>
      <w:r w:rsidR="00D560E5" w:rsidRPr="001D1CA1">
        <w:rPr>
          <w:rStyle w:val="FootnoteReference"/>
          <w:rFonts w:cs="Times New Roman"/>
          <w:bCs/>
        </w:rPr>
        <w:footnoteReference w:id="41"/>
      </w:r>
      <w:bookmarkEnd w:id="11"/>
      <w:r w:rsidR="00D560E5" w:rsidRPr="001D1CA1">
        <w:rPr>
          <w:rFonts w:cs="Times New Roman"/>
          <w:bCs/>
        </w:rPr>
        <w:t xml:space="preserve"> Actually, the very process of setting up MRV systems and the methodologies employed for doing so may have important political dimensions. As Gupta </w:t>
      </w:r>
      <w:r w:rsidR="00D560E5" w:rsidRPr="001D1CA1">
        <w:rPr>
          <w:rFonts w:cs="Times New Roman"/>
          <w:bCs/>
          <w:i/>
        </w:rPr>
        <w:t>et al.</w:t>
      </w:r>
      <w:r w:rsidR="00D560E5" w:rsidRPr="001D1CA1">
        <w:rPr>
          <w:rFonts w:cs="Times New Roman"/>
          <w:bCs/>
        </w:rPr>
        <w:t xml:space="preserve"> highlight, emerging MRV systems for REDD+ may privilege certain actors, forms of knowledge, and sets of values and objectives.</w:t>
      </w:r>
      <w:r w:rsidR="00D560E5" w:rsidRPr="001D1CA1">
        <w:rPr>
          <w:rStyle w:val="FootnoteReference"/>
          <w:rFonts w:cs="Times New Roman"/>
          <w:bCs/>
        </w:rPr>
        <w:footnoteReference w:id="42"/>
      </w:r>
      <w:r w:rsidR="00D560E5" w:rsidRPr="001D1CA1">
        <w:rPr>
          <w:rFonts w:cs="Times New Roman"/>
          <w:bCs/>
        </w:rPr>
        <w:t xml:space="preserve"> Some approaches to MRV “may serve to marginalize local actors, obscure local differences, and/or promote carbon over other forest values,” while others “can be used to mobilise counter-expertise and activate agency in diverse ways, both of global scientific elites and local actors.”</w:t>
      </w:r>
      <w:r w:rsidR="00D560E5" w:rsidRPr="001D1CA1">
        <w:rPr>
          <w:rStyle w:val="FootnoteReference"/>
          <w:rFonts w:cs="Times New Roman"/>
          <w:bCs/>
        </w:rPr>
        <w:footnoteReference w:id="43"/>
      </w:r>
      <w:r w:rsidR="00D560E5" w:rsidRPr="001D1CA1">
        <w:rPr>
          <w:rFonts w:cs="Times New Roman"/>
          <w:bCs/>
        </w:rPr>
        <w:t xml:space="preserve"> Among the latter set of approaches, community-based forms of MRV are increasingly being seen as a feasible approach to meeting the requirements of REDD+, while also ensuring respect for the rights and knowledge of Indigenous and local communities and providing them with alternative livelihoods.</w:t>
      </w:r>
      <w:r w:rsidR="00D560E5" w:rsidRPr="001D1CA1">
        <w:rPr>
          <w:rStyle w:val="FootnoteReference"/>
          <w:rFonts w:cs="Times New Roman"/>
          <w:bCs/>
        </w:rPr>
        <w:footnoteReference w:id="44"/>
      </w:r>
      <w:r w:rsidR="00D560E5" w:rsidRPr="001D1CA1">
        <w:rPr>
          <w:rFonts w:cs="Times New Roman"/>
          <w:bCs/>
        </w:rPr>
        <w:t xml:space="preserve"> </w:t>
      </w:r>
    </w:p>
    <w:p w14:paraId="667A3A8E" w14:textId="77777777" w:rsidR="00D560E5" w:rsidRPr="001D1CA1" w:rsidRDefault="00D560E5" w:rsidP="009F4955">
      <w:pPr>
        <w:rPr>
          <w:rFonts w:cs="Times New Roman"/>
          <w:bCs/>
        </w:rPr>
      </w:pPr>
    </w:p>
    <w:p w14:paraId="6BB1BED6" w14:textId="51AE5ABE" w:rsidR="005361B4" w:rsidRPr="001D1CA1" w:rsidRDefault="00DB4A34" w:rsidP="009F4955">
      <w:pPr>
        <w:rPr>
          <w:rFonts w:cs="Times New Roman"/>
        </w:rPr>
      </w:pPr>
      <w:r w:rsidRPr="001D1CA1">
        <w:rPr>
          <w:rFonts w:cs="Times New Roman"/>
        </w:rPr>
        <w:t>The fourth</w:t>
      </w:r>
      <w:r w:rsidR="005361B4" w:rsidRPr="001D1CA1">
        <w:rPr>
          <w:rFonts w:cs="Times New Roman"/>
        </w:rPr>
        <w:t xml:space="preserve"> and final element of any national REDD+ readiness programme consists of the development of an information system for reporting on the way that environmental and social safeguards are “being addressed and respected” in REDD+ activities.</w:t>
      </w:r>
      <w:r w:rsidR="005361B4" w:rsidRPr="001D1CA1">
        <w:rPr>
          <w:rStyle w:val="FootnoteReference"/>
          <w:rFonts w:cs="Times New Roman"/>
          <w:bCs/>
          <w:szCs w:val="20"/>
        </w:rPr>
        <w:footnoteReference w:id="45"/>
      </w:r>
      <w:r w:rsidR="005361B4" w:rsidRPr="001D1CA1">
        <w:rPr>
          <w:rFonts w:cs="Times New Roman"/>
        </w:rPr>
        <w:t xml:space="preserve"> As provided by the </w:t>
      </w:r>
      <w:r w:rsidR="005361B4" w:rsidRPr="001D1CA1">
        <w:rPr>
          <w:rFonts w:cs="Times New Roman"/>
          <w:i/>
        </w:rPr>
        <w:t>Cancun Agreements</w:t>
      </w:r>
      <w:r w:rsidR="005361B4" w:rsidRPr="001D1CA1">
        <w:rPr>
          <w:rFonts w:cs="Times New Roman"/>
        </w:rPr>
        <w:t>, in addition to meeting a manifold set of objectives, REDD+ activities must also “promote and support” the following safeguards:</w:t>
      </w:r>
    </w:p>
    <w:p w14:paraId="1CF30BE2" w14:textId="77777777" w:rsidR="005361B4" w:rsidRPr="001D1CA1" w:rsidRDefault="005361B4" w:rsidP="009F4955">
      <w:pPr>
        <w:ind w:left="567" w:right="708"/>
        <w:rPr>
          <w:rFonts w:cs="Times New Roman"/>
          <w:bCs/>
          <w:sz w:val="20"/>
          <w:szCs w:val="20"/>
        </w:rPr>
      </w:pPr>
      <w:r w:rsidRPr="001D1CA1">
        <w:rPr>
          <w:rFonts w:cs="Times New Roman"/>
          <w:bCs/>
          <w:sz w:val="20"/>
          <w:szCs w:val="20"/>
        </w:rPr>
        <w:t>(a) Actions complement or are consistent with the objectives of national forest programmes and relevant international conventions and agreements;</w:t>
      </w:r>
    </w:p>
    <w:p w14:paraId="331BA58F" w14:textId="77777777" w:rsidR="005361B4" w:rsidRPr="001D1CA1" w:rsidRDefault="005361B4" w:rsidP="009F4955">
      <w:pPr>
        <w:ind w:left="567" w:right="708"/>
        <w:rPr>
          <w:rFonts w:cs="Times New Roman"/>
          <w:bCs/>
          <w:sz w:val="20"/>
          <w:szCs w:val="20"/>
        </w:rPr>
      </w:pPr>
      <w:r w:rsidRPr="001D1CA1">
        <w:rPr>
          <w:rFonts w:cs="Times New Roman"/>
          <w:bCs/>
          <w:sz w:val="20"/>
          <w:szCs w:val="20"/>
        </w:rPr>
        <w:t>(b) Transparent and effective national forest governance structures, taking into account national legislation and sovereignty;</w:t>
      </w:r>
    </w:p>
    <w:p w14:paraId="46AB2B3A" w14:textId="77777777" w:rsidR="005361B4" w:rsidRPr="001D1CA1" w:rsidRDefault="005361B4" w:rsidP="009F4955">
      <w:pPr>
        <w:ind w:left="567" w:right="708"/>
        <w:rPr>
          <w:rFonts w:cs="Times New Roman"/>
          <w:bCs/>
          <w:sz w:val="20"/>
          <w:szCs w:val="20"/>
        </w:rPr>
      </w:pPr>
      <w:r w:rsidRPr="001D1CA1">
        <w:rPr>
          <w:rFonts w:cs="Times New Roman"/>
          <w:bCs/>
          <w:sz w:val="20"/>
          <w:szCs w:val="20"/>
        </w:rPr>
        <w:t>(c) Respect for the knowledge and rights of indigenous peoples and members of local communities, by taking into account relevant international obligations, national circumstances and laws, and noting that the United Nations General Assembly has adopted the United Nations Declaration on the Rights of Indigenous Peoples;</w:t>
      </w:r>
    </w:p>
    <w:p w14:paraId="2FA62677" w14:textId="77777777" w:rsidR="005361B4" w:rsidRPr="001D1CA1" w:rsidRDefault="005361B4" w:rsidP="009F4955">
      <w:pPr>
        <w:ind w:left="567" w:right="708"/>
        <w:rPr>
          <w:rFonts w:cs="Times New Roman"/>
          <w:bCs/>
          <w:sz w:val="20"/>
          <w:szCs w:val="20"/>
        </w:rPr>
      </w:pPr>
      <w:r w:rsidRPr="001D1CA1">
        <w:rPr>
          <w:rFonts w:cs="Times New Roman"/>
          <w:bCs/>
          <w:sz w:val="20"/>
          <w:szCs w:val="20"/>
        </w:rPr>
        <w:t>(d) The full and effective participation of relevant stakeholders, in particular, indigenous peoples and local communities, […];</w:t>
      </w:r>
    </w:p>
    <w:p w14:paraId="141E6745" w14:textId="77777777" w:rsidR="005361B4" w:rsidRPr="001D1CA1" w:rsidRDefault="005361B4" w:rsidP="009F4955">
      <w:pPr>
        <w:ind w:left="567" w:right="708"/>
        <w:rPr>
          <w:rFonts w:cs="Times New Roman"/>
          <w:bCs/>
          <w:sz w:val="20"/>
          <w:szCs w:val="20"/>
        </w:rPr>
      </w:pPr>
      <w:r w:rsidRPr="001D1CA1">
        <w:rPr>
          <w:rFonts w:cs="Times New Roman"/>
          <w:bCs/>
          <w:sz w:val="20"/>
          <w:szCs w:val="20"/>
        </w:rPr>
        <w:t>(e) Actions are consistent with the conservation of natural forests and biological diversity, ensuring that actions […] are not used for the conversion of natural forests, but are instead used to incentivize the protection and conservation of natural forests and their ecosystem services, and to enhance other social and environmental benefits;</w:t>
      </w:r>
    </w:p>
    <w:p w14:paraId="6D6C72D8" w14:textId="77777777" w:rsidR="005361B4" w:rsidRPr="001D1CA1" w:rsidRDefault="005361B4" w:rsidP="009F4955">
      <w:pPr>
        <w:ind w:left="567" w:right="708"/>
        <w:rPr>
          <w:rFonts w:cs="Times New Roman"/>
          <w:bCs/>
          <w:sz w:val="20"/>
          <w:szCs w:val="20"/>
        </w:rPr>
      </w:pPr>
      <w:r w:rsidRPr="001D1CA1">
        <w:rPr>
          <w:rFonts w:cs="Times New Roman"/>
          <w:bCs/>
          <w:sz w:val="20"/>
          <w:szCs w:val="20"/>
        </w:rPr>
        <w:t xml:space="preserve">(f) Actions to address the risks of reversals; </w:t>
      </w:r>
    </w:p>
    <w:p w14:paraId="747EABD2" w14:textId="77777777" w:rsidR="005361B4" w:rsidRPr="001D1CA1" w:rsidRDefault="005361B4" w:rsidP="009F4955">
      <w:pPr>
        <w:ind w:left="567" w:right="708"/>
        <w:rPr>
          <w:rFonts w:cs="Times New Roman"/>
          <w:bCs/>
          <w:sz w:val="20"/>
          <w:szCs w:val="20"/>
        </w:rPr>
      </w:pPr>
      <w:r w:rsidRPr="001D1CA1">
        <w:rPr>
          <w:rFonts w:cs="Times New Roman"/>
          <w:bCs/>
          <w:sz w:val="20"/>
          <w:szCs w:val="20"/>
        </w:rPr>
        <w:t>(g) Actions to reduce displacement of emissions.</w:t>
      </w:r>
      <w:r w:rsidRPr="001D1CA1">
        <w:rPr>
          <w:rStyle w:val="FootnoteReference"/>
          <w:rFonts w:cs="Times New Roman"/>
          <w:bCs/>
          <w:sz w:val="20"/>
          <w:szCs w:val="20"/>
        </w:rPr>
        <w:footnoteReference w:id="46"/>
      </w:r>
    </w:p>
    <w:p w14:paraId="3A929219" w14:textId="77777777" w:rsidR="005361B4" w:rsidRPr="001D1CA1" w:rsidRDefault="005361B4" w:rsidP="009F4955">
      <w:pPr>
        <w:rPr>
          <w:rFonts w:cs="Times New Roman"/>
          <w:bCs/>
        </w:rPr>
      </w:pPr>
    </w:p>
    <w:p w14:paraId="23FB97D5" w14:textId="77777777" w:rsidR="005361B4" w:rsidRPr="001D1CA1" w:rsidRDefault="005361B4" w:rsidP="009F4955">
      <w:pPr>
        <w:rPr>
          <w:rFonts w:cs="Times New Roman"/>
          <w:bCs/>
        </w:rPr>
      </w:pPr>
      <w:r w:rsidRPr="001D1CA1">
        <w:rPr>
          <w:rFonts w:cs="Times New Roman"/>
          <w:bCs/>
        </w:rPr>
        <w:t xml:space="preserve">In the </w:t>
      </w:r>
      <w:r w:rsidRPr="001D1CA1">
        <w:rPr>
          <w:rFonts w:cs="Times New Roman"/>
          <w:bCs/>
          <w:i/>
        </w:rPr>
        <w:t>Durban Platform for Enhanced Action</w:t>
      </w:r>
      <w:r w:rsidRPr="001D1CA1">
        <w:rPr>
          <w:rFonts w:cs="Times New Roman"/>
          <w:bCs/>
        </w:rPr>
        <w:t>, the UNFCCC COP further agreed that REDD+ activities “regardless of the source or type of financing” should be consistent with these safeguards.</w:t>
      </w:r>
      <w:r w:rsidRPr="001D1CA1">
        <w:rPr>
          <w:rStyle w:val="FootnoteReference"/>
          <w:rFonts w:cs="Times New Roman"/>
          <w:bCs/>
        </w:rPr>
        <w:footnoteReference w:id="47"/>
      </w:r>
      <w:r w:rsidRPr="001D1CA1">
        <w:rPr>
          <w:rFonts w:cs="Times New Roman"/>
          <w:bCs/>
        </w:rPr>
        <w:t xml:space="preserve"> At this stage however, whether and how reporting on these safeguards will be standardized, verified, publicized or sanctioned in a future REDD+ mechanism remain open questions.</w:t>
      </w:r>
      <w:bookmarkStart w:id="12" w:name="_Ref216945309"/>
      <w:r w:rsidRPr="001D1CA1">
        <w:rPr>
          <w:rStyle w:val="FootnoteReference"/>
          <w:rFonts w:cs="Times New Roman"/>
          <w:bCs/>
        </w:rPr>
        <w:footnoteReference w:id="48"/>
      </w:r>
      <w:bookmarkEnd w:id="12"/>
      <w:r w:rsidRPr="001D1CA1">
        <w:rPr>
          <w:rFonts w:cs="Times New Roman"/>
          <w:bCs/>
        </w:rPr>
        <w:t xml:space="preserve"> In addition to the UNFCCC’s guidance in this area, a plethora of multilateral and non-governmental REDD+ initiatives have also emerged to provide additional and more specific guidance on reporting and complying with social and environmental safeguards.</w:t>
      </w:r>
      <w:r w:rsidRPr="001D1CA1">
        <w:rPr>
          <w:rStyle w:val="FootnoteReference"/>
          <w:rFonts w:cs="Times New Roman"/>
          <w:bCs/>
        </w:rPr>
        <w:footnoteReference w:id="49"/>
      </w:r>
      <w:r w:rsidRPr="001D1CA1">
        <w:rPr>
          <w:rFonts w:cs="Times New Roman"/>
          <w:bCs/>
        </w:rPr>
        <w:t xml:space="preserve"> Depending on how they are operationalized at the domestic level, safeguards and related reporting systems may hold critically important implications for forest policy and governance in developing countries.</w:t>
      </w:r>
      <w:bookmarkStart w:id="13" w:name="_Ref216425846"/>
      <w:r w:rsidRPr="001D1CA1">
        <w:rPr>
          <w:rStyle w:val="FootnoteReference"/>
          <w:rFonts w:cs="Times New Roman"/>
          <w:bCs/>
        </w:rPr>
        <w:footnoteReference w:id="50"/>
      </w:r>
      <w:bookmarkEnd w:id="13"/>
    </w:p>
    <w:p w14:paraId="05FC9C8D" w14:textId="77777777" w:rsidR="005361B4" w:rsidRPr="001D1CA1" w:rsidRDefault="005361B4" w:rsidP="009F4955">
      <w:pPr>
        <w:pStyle w:val="Heading3"/>
        <w:spacing w:line="240" w:lineRule="auto"/>
        <w:rPr>
          <w:rFonts w:cs="Times New Roman"/>
        </w:rPr>
      </w:pPr>
    </w:p>
    <w:p w14:paraId="470E7C5A" w14:textId="3360B101" w:rsidR="005361B4" w:rsidRPr="001D1CA1" w:rsidRDefault="005361B4" w:rsidP="009F4955">
      <w:pPr>
        <w:pStyle w:val="Heading3"/>
        <w:spacing w:line="240" w:lineRule="auto"/>
        <w:rPr>
          <w:rFonts w:cs="Times New Roman"/>
          <w:bCs/>
        </w:rPr>
      </w:pPr>
      <w:r w:rsidRPr="001D1CA1">
        <w:rPr>
          <w:rFonts w:cs="Times New Roman"/>
        </w:rPr>
        <w:t>Domestic REDD+ Demonstration Activities</w:t>
      </w:r>
    </w:p>
    <w:p w14:paraId="11C56C34" w14:textId="77777777" w:rsidR="005361B4" w:rsidRPr="001D1CA1" w:rsidRDefault="005361B4" w:rsidP="009F4955">
      <w:pPr>
        <w:rPr>
          <w:rFonts w:cs="Times New Roman"/>
          <w:bCs/>
        </w:rPr>
      </w:pPr>
      <w:r w:rsidRPr="001D1CA1">
        <w:rPr>
          <w:rFonts w:cs="Times New Roman"/>
          <w:bCs/>
        </w:rPr>
        <w:t>The UNFCCC COP has encouraged the establishment of domestic REDD+ demonstration activities as “a step towards the development of national approaches, reference levels and estimates.”</w:t>
      </w:r>
      <w:r w:rsidRPr="001D1CA1">
        <w:rPr>
          <w:rStyle w:val="FootnoteReference"/>
          <w:rFonts w:cs="Times New Roman"/>
          <w:bCs/>
        </w:rPr>
        <w:footnoteReference w:id="51"/>
      </w:r>
      <w:r w:rsidRPr="001D1CA1">
        <w:rPr>
          <w:rFonts w:cs="Times New Roman"/>
          <w:bCs/>
        </w:rPr>
        <w:t xml:space="preserve"> It has specified that such activities should be undertaken with the approval of a host country, follow emerging methodological guidelines, and assess and report results and overall effectiveness, preferably through some independent form of monitoring.</w:t>
      </w:r>
      <w:r w:rsidRPr="001D1CA1">
        <w:rPr>
          <w:rStyle w:val="FootnoteReference"/>
          <w:rFonts w:cs="Times New Roman"/>
          <w:bCs/>
        </w:rPr>
        <w:footnoteReference w:id="52"/>
      </w:r>
      <w:r w:rsidRPr="001D1CA1">
        <w:rPr>
          <w:rFonts w:cs="Times New Roman"/>
          <w:bCs/>
        </w:rPr>
        <w:t xml:space="preserve"> REDD+ demonstration activities should thus be seen as pilot projects for learning about REDD+ activities, tools, and methodologies. In other words, the rationale behind REDD+ demonstration activities is not necessarily to reduce forestry-related emissions in the short-term, but to figure out how to do so in the long-term on a broad scale.</w:t>
      </w:r>
      <w:bookmarkStart w:id="14" w:name="_Ref216344776"/>
      <w:r w:rsidRPr="001D1CA1">
        <w:rPr>
          <w:rStyle w:val="FootnoteReference"/>
          <w:rFonts w:cs="Times New Roman"/>
          <w:bCs/>
        </w:rPr>
        <w:footnoteReference w:id="53"/>
      </w:r>
      <w:bookmarkEnd w:id="14"/>
    </w:p>
    <w:p w14:paraId="5DD4C2C2" w14:textId="77777777" w:rsidR="005361B4" w:rsidRPr="001D1CA1" w:rsidRDefault="005361B4" w:rsidP="009F4955">
      <w:pPr>
        <w:rPr>
          <w:rFonts w:cs="Times New Roman"/>
          <w:bCs/>
        </w:rPr>
      </w:pPr>
    </w:p>
    <w:p w14:paraId="46406B56" w14:textId="77777777" w:rsidR="005361B4" w:rsidRPr="001D1CA1" w:rsidRDefault="005361B4" w:rsidP="009F4955">
      <w:pPr>
        <w:rPr>
          <w:rFonts w:cs="Times New Roman"/>
          <w:bCs/>
        </w:rPr>
      </w:pPr>
      <w:r w:rsidRPr="001D1CA1">
        <w:rPr>
          <w:rFonts w:cs="Times New Roman"/>
          <w:bCs/>
        </w:rPr>
        <w:t>While many REDD+ demonstration activities focus on technical and methodological issues such as the development of MRV systems, other activities seek to implement and assess project-level interventions for reducing forest carbon emissions such as participatory forest management or reduced impact logging schemes. However, even the latter set of activities tend to consist of learning-by-doing exercises for the purposes of achieving REDD+ readiness rather than actual demonstration of how REDD+ may work in the future. In a sample of REDD+ demonstration activities studied by Sunderlin and Sills, most projects had not reached the stage of providing payments on the basis of results achieved in emissions reductions, but remained instead at an initial, pre-REDD+ stage of preparations and investments.</w:t>
      </w:r>
      <w:r w:rsidRPr="001D1CA1">
        <w:rPr>
          <w:rStyle w:val="FootnoteReference"/>
          <w:rFonts w:cs="Times New Roman"/>
          <w:bCs/>
        </w:rPr>
        <w:footnoteReference w:id="54"/>
      </w:r>
      <w:r w:rsidRPr="001D1CA1">
        <w:rPr>
          <w:rFonts w:cs="Times New Roman"/>
          <w:bCs/>
        </w:rPr>
        <w:t xml:space="preserve"> There are a number of reasons that explain the essentially experimental character of REDD+ demonstration projects. For one thing, there is simply too much policy and market uncertainty in terms of how REDD+ might work, whether nationally or internationally, for project developers to fully commit to, and implement, a specific REDD+ payment scheme. For another, some of the very same technical, financial, and social challenges and complexities that beguile international and national policy-makers working on REDD+ readiness activities also stand in the way of the rapid operationalizing of REDD+ demonstration activities.</w:t>
      </w:r>
      <w:r w:rsidRPr="001D1CA1">
        <w:rPr>
          <w:rStyle w:val="FootnoteReference"/>
          <w:rFonts w:cs="Times New Roman"/>
          <w:bCs/>
        </w:rPr>
        <w:footnoteReference w:id="55"/>
      </w:r>
    </w:p>
    <w:p w14:paraId="30629A6F" w14:textId="77777777" w:rsidR="005361B4" w:rsidRPr="001D1CA1" w:rsidRDefault="005361B4" w:rsidP="009F4955">
      <w:pPr>
        <w:rPr>
          <w:rFonts w:cs="Times New Roman"/>
          <w:bCs/>
        </w:rPr>
      </w:pPr>
    </w:p>
    <w:p w14:paraId="3A961454" w14:textId="6F628E34" w:rsidR="005361B4" w:rsidRPr="00431664" w:rsidRDefault="005361B4" w:rsidP="009F4955">
      <w:pPr>
        <w:rPr>
          <w:rFonts w:cs="Times New Roman"/>
          <w:bCs/>
        </w:rPr>
      </w:pPr>
      <w:r w:rsidRPr="001D1CA1">
        <w:rPr>
          <w:rFonts w:cs="Times New Roman"/>
          <w:bCs/>
        </w:rPr>
        <w:t xml:space="preserve">Beyond the contributions that they can make in terms of developing technical knowledge and capacity, demonstration activities may also generate learning that can inform </w:t>
      </w:r>
      <w:bookmarkStart w:id="15" w:name="_Ref216345667"/>
      <w:r w:rsidRPr="001D1CA1">
        <w:rPr>
          <w:rFonts w:cs="Times New Roman"/>
          <w:bCs/>
        </w:rPr>
        <w:t>the policy and governance aspects of the REDD+ readiness phase. REDD+ readiness demonstration activities may provide policy-makers with information about the costs, feasibility, and effectiveness of various project-level interventions.</w:t>
      </w:r>
      <w:r w:rsidRPr="001D1CA1">
        <w:rPr>
          <w:rStyle w:val="FootnoteReference"/>
          <w:rFonts w:cs="Times New Roman"/>
          <w:bCs/>
        </w:rPr>
        <w:footnoteReference w:id="56"/>
      </w:r>
      <w:r w:rsidRPr="001D1CA1">
        <w:rPr>
          <w:rFonts w:cs="Times New Roman"/>
          <w:bCs/>
        </w:rPr>
        <w:t xml:space="preserve"> They may also </w:t>
      </w:r>
      <w:bookmarkEnd w:id="15"/>
      <w:r w:rsidRPr="001D1CA1">
        <w:rPr>
          <w:rFonts w:cs="Times New Roman"/>
          <w:bCs/>
        </w:rPr>
        <w:t>“</w:t>
      </w:r>
      <w:r w:rsidRPr="001D1CA1">
        <w:rPr>
          <w:rFonts w:cs="Times New Roman"/>
        </w:rPr>
        <w:t>provide lessons for national policies by pointing to the most critical institutional and legal reforms that will be needed to implement REDD+ at the local level.”</w:t>
      </w:r>
      <w:bookmarkStart w:id="16" w:name="_Ref227652780"/>
      <w:r w:rsidRPr="001D1CA1">
        <w:rPr>
          <w:rStyle w:val="FootnoteReference"/>
          <w:rFonts w:cs="Times New Roman"/>
        </w:rPr>
        <w:footnoteReference w:id="57"/>
      </w:r>
      <w:bookmarkEnd w:id="16"/>
      <w:r w:rsidRPr="001D1CA1">
        <w:rPr>
          <w:rFonts w:cs="Times New Roman"/>
        </w:rPr>
        <w:t xml:space="preserve"> These lessons are not simply valuable within the context of a country’s REDD+ readiness phase, but may also be diffused widely to inform the efforts of other countries.</w:t>
      </w:r>
      <w:r w:rsidRPr="001D1CA1">
        <w:rPr>
          <w:rFonts w:cs="Times New Roman"/>
          <w:bCs/>
        </w:rPr>
        <w:t xml:space="preserve"> Indeed, as Jagger </w:t>
      </w:r>
      <w:r w:rsidRPr="001D1CA1">
        <w:rPr>
          <w:rFonts w:cs="Times New Roman"/>
          <w:bCs/>
          <w:i/>
        </w:rPr>
        <w:t>et al.</w:t>
      </w:r>
      <w:r w:rsidRPr="001D1CA1">
        <w:rPr>
          <w:rFonts w:cs="Times New Roman"/>
          <w:bCs/>
        </w:rPr>
        <w:t xml:space="preserve"> point out, “REDD+ is a unique opportunity to share the lessons we learn, because of the global distribution and relatively coordinated timing of projects, significant allocation of financial resources, and clear objectives and explicit mandate set by international negotiators.”</w:t>
      </w:r>
      <w:r w:rsidRPr="001D1CA1">
        <w:rPr>
          <w:rStyle w:val="FootnoteReference"/>
          <w:rFonts w:cs="Times New Roman"/>
          <w:bCs/>
        </w:rPr>
        <w:footnoteReference w:id="58"/>
      </w:r>
      <w:r w:rsidRPr="001D1CA1">
        <w:rPr>
          <w:rFonts w:cs="Times New Roman"/>
          <w:bCs/>
        </w:rPr>
        <w:t xml:space="preserve"> The global significance of REDD+ demonstration activities also derives from the fact that most such activities are carried out through partnerships involving domestic governmental actors, bilateral aid agencies, local communities and NGOs, international NGOs, international organizations, and private sector actors,</w:t>
      </w:r>
      <w:r w:rsidRPr="001D1CA1">
        <w:rPr>
          <w:rStyle w:val="FootnoteReference"/>
          <w:rFonts w:cs="Times New Roman"/>
          <w:bCs/>
        </w:rPr>
        <w:footnoteReference w:id="59"/>
      </w:r>
      <w:r w:rsidRPr="001D1CA1">
        <w:rPr>
          <w:rFonts w:cs="Times New Roman"/>
          <w:bCs/>
        </w:rPr>
        <w:t xml:space="preserve"> thereby enhancing opportunities for transnational learning.</w:t>
      </w:r>
      <w:r w:rsidR="00431664">
        <w:rPr>
          <w:rFonts w:cs="Times New Roman"/>
          <w:bCs/>
        </w:rPr>
        <w:t xml:space="preserve"> </w:t>
      </w:r>
      <w:r w:rsidRPr="001D1CA1">
        <w:rPr>
          <w:rFonts w:cs="Times New Roman"/>
          <w:bCs/>
        </w:rPr>
        <w:t>All the same, a number of factors may limit the potential of REDD+ demonstration activities to generate and disseminate lessons that may be of value for REDD+ policy-making. To begin with, there are concerns about the quality and reliability of the assessment approaches and methods that have been adopted by the first generation of REDD+ demonstration projects.</w:t>
      </w:r>
      <w:r w:rsidRPr="001D1CA1">
        <w:rPr>
          <w:rStyle w:val="FootnoteReference"/>
          <w:rFonts w:cs="Times New Roman"/>
          <w:bCs/>
        </w:rPr>
        <w:footnoteReference w:id="60"/>
      </w:r>
      <w:r w:rsidRPr="001D1CA1">
        <w:rPr>
          <w:rFonts w:cs="Times New Roman"/>
          <w:bCs/>
        </w:rPr>
        <w:t xml:space="preserve"> A related issue is that, as surveys </w:t>
      </w:r>
      <w:r w:rsidRPr="001D1CA1">
        <w:rPr>
          <w:rFonts w:cs="Times New Roman"/>
        </w:rPr>
        <w:t>suggest, many REDD+ demonstration projects “are simply old wine in new REDD+ wineskins: existing projects or approaches that have been rebranded as ‘REDD+’ to attract new finance.”</w:t>
      </w:r>
      <w:r w:rsidRPr="001D1CA1">
        <w:rPr>
          <w:rStyle w:val="FootnoteReference"/>
          <w:rFonts w:cs="Times New Roman"/>
        </w:rPr>
        <w:footnoteReference w:id="61"/>
      </w:r>
      <w:r w:rsidRPr="001D1CA1">
        <w:rPr>
          <w:rFonts w:cs="Times New Roman"/>
        </w:rPr>
        <w:t xml:space="preserve"> Most importantly,</w:t>
      </w:r>
      <w:r w:rsidRPr="001D1CA1">
        <w:rPr>
          <w:rFonts w:cs="Times New Roman"/>
          <w:bCs/>
        </w:rPr>
        <w:t xml:space="preserve"> a lack of coordination between national readiness efforts and local demonstration activities within a country, continuing uncertainty about applicable methodologies and approaches, and donor preference for early results on the ground has led to a growing disconnect between REDD+ activities</w:t>
      </w:r>
      <w:r w:rsidR="00431664">
        <w:rPr>
          <w:rFonts w:cs="Times New Roman"/>
          <w:bCs/>
        </w:rPr>
        <w:t xml:space="preserve"> undertaken at different scales.</w:t>
      </w:r>
      <w:bookmarkStart w:id="17" w:name="_Ref227652534"/>
      <w:r w:rsidRPr="001D1CA1">
        <w:rPr>
          <w:rStyle w:val="FootnoteReference"/>
          <w:rFonts w:cs="Times New Roman"/>
          <w:bCs/>
        </w:rPr>
        <w:footnoteReference w:id="62"/>
      </w:r>
      <w:bookmarkEnd w:id="17"/>
      <w:r w:rsidRPr="001D1CA1">
        <w:rPr>
          <w:rFonts w:cs="Times New Roman"/>
          <w:bCs/>
        </w:rPr>
        <w:t xml:space="preserve">  </w:t>
      </w:r>
      <w:r w:rsidRPr="001D1CA1">
        <w:rPr>
          <w:rFonts w:cs="Times New Roman"/>
        </w:rPr>
        <w:t>As such, a key challenge for the REDD+ readiness phase is ensuring that any lessons that emerge from REDD+ demonstration activities are communicated to policy-makers and are reflected in on-going policy processes at various scales.</w:t>
      </w:r>
    </w:p>
    <w:p w14:paraId="2A96B6C1" w14:textId="77777777" w:rsidR="005361B4" w:rsidRPr="001D1CA1" w:rsidRDefault="005361B4" w:rsidP="009F4955">
      <w:pPr>
        <w:rPr>
          <w:rFonts w:cs="Times New Roman"/>
          <w:bCs/>
        </w:rPr>
      </w:pPr>
    </w:p>
    <w:p w14:paraId="72EDD497" w14:textId="77777777" w:rsidR="005361B4" w:rsidRPr="001D1CA1" w:rsidRDefault="005361B4" w:rsidP="009F4955">
      <w:pPr>
        <w:rPr>
          <w:rFonts w:cs="Times New Roman"/>
          <w:bCs/>
        </w:rPr>
      </w:pPr>
      <w:r w:rsidRPr="001D1CA1">
        <w:rPr>
          <w:rFonts w:cs="Times New Roman"/>
          <w:bCs/>
        </w:rPr>
        <w:t>Yet, whether or not REDD+ demonstration activities manage to influence national or global REDD+ readiness processes, they may still have important implications for forest policy and governance at the local level, especially with respect to the rights of Indigenous and local communities. Due to the importance of aid funding in the landscape of REDD+ demonstration activities, many early projects have had a pro-poo bias and sought to support and empower forest-dependent communities undertaking or committed to sustainable forest management practices.</w:t>
      </w:r>
      <w:r w:rsidRPr="001D1CA1">
        <w:rPr>
          <w:rStyle w:val="FootnoteReference"/>
          <w:rFonts w:cs="Times New Roman"/>
        </w:rPr>
        <w:footnoteReference w:id="63"/>
      </w:r>
      <w:r w:rsidRPr="001D1CA1">
        <w:rPr>
          <w:rFonts w:cs="Times New Roman"/>
          <w:bCs/>
        </w:rPr>
        <w:t xml:space="preserve"> As well, the emerging rules and norms for REDD+ already beginning to be implemented within the context of demonstration activities such that project developers have sought to negotiate agreements with local communities to respect and clarify their land and tenure rights.</w:t>
      </w:r>
      <w:r w:rsidRPr="001D1CA1">
        <w:rPr>
          <w:rStyle w:val="FootnoteReference"/>
          <w:rFonts w:cs="Times New Roman"/>
          <w:bCs/>
        </w:rPr>
        <w:footnoteReference w:id="64"/>
      </w:r>
    </w:p>
    <w:p w14:paraId="290193D3" w14:textId="77777777" w:rsidR="005361B4" w:rsidRPr="001D1CA1" w:rsidRDefault="005361B4" w:rsidP="009F4955">
      <w:pPr>
        <w:pStyle w:val="Heading3"/>
        <w:spacing w:line="240" w:lineRule="auto"/>
        <w:rPr>
          <w:rFonts w:cs="Times New Roman"/>
        </w:rPr>
      </w:pPr>
    </w:p>
    <w:p w14:paraId="3C90DFF1" w14:textId="783C10E2" w:rsidR="005361B4" w:rsidRPr="001D1CA1" w:rsidRDefault="005361B4" w:rsidP="009F4955">
      <w:pPr>
        <w:pStyle w:val="Heading3"/>
        <w:spacing w:line="240" w:lineRule="auto"/>
        <w:rPr>
          <w:rFonts w:cs="Times New Roman"/>
          <w:bCs/>
        </w:rPr>
      </w:pPr>
      <w:r w:rsidRPr="001D1CA1">
        <w:rPr>
          <w:rFonts w:cs="Times New Roman"/>
        </w:rPr>
        <w:t>International REDD+ Readiness Initiatives</w:t>
      </w:r>
    </w:p>
    <w:p w14:paraId="1CEBF5AC" w14:textId="77777777" w:rsidR="005361B4" w:rsidRPr="001D1CA1" w:rsidRDefault="005361B4" w:rsidP="009F4955">
      <w:pPr>
        <w:rPr>
          <w:rFonts w:cs="Times New Roman"/>
          <w:bCs/>
        </w:rPr>
      </w:pPr>
      <w:r w:rsidRPr="001D1CA1">
        <w:rPr>
          <w:rFonts w:cs="Times New Roman"/>
          <w:bCs/>
        </w:rPr>
        <w:t xml:space="preserve">Both domestic readiness activities and demonstration activities are carried out with the support and collaboration of a complex array of multilateral, bilateral, and non-governmental initiatives at the international level.  </w:t>
      </w:r>
    </w:p>
    <w:p w14:paraId="233C8826" w14:textId="77777777" w:rsidR="005361B4" w:rsidRPr="001D1CA1" w:rsidRDefault="005361B4" w:rsidP="009F4955">
      <w:pPr>
        <w:rPr>
          <w:rFonts w:cs="Times New Roman"/>
          <w:bCs/>
        </w:rPr>
      </w:pPr>
    </w:p>
    <w:p w14:paraId="643FEA47" w14:textId="77777777" w:rsidR="005361B4" w:rsidRPr="001D1CA1" w:rsidRDefault="005361B4" w:rsidP="009F4955">
      <w:pPr>
        <w:rPr>
          <w:rFonts w:cs="Times New Roman"/>
          <w:bCs/>
        </w:rPr>
      </w:pPr>
      <w:r w:rsidRPr="001D1CA1">
        <w:rPr>
          <w:rFonts w:cs="Times New Roman"/>
          <w:bCs/>
        </w:rPr>
        <w:t xml:space="preserve">There are currently three major multilateral initiatives that support REDD+ readiness efforts around the world. </w:t>
      </w:r>
      <w:r w:rsidRPr="001D1CA1">
        <w:rPr>
          <w:rFonts w:cs="Times New Roman"/>
        </w:rPr>
        <w:t>The first is the UN-REDD programme established by the United Nations Development Programme (UNDP), the United Nations Environment Programme (UNEP), and the Food and Agriculture Organization (FAO) in 2008. UN-REDD currently provides direct financial and technical support to national REDD+ readiness efforts in 14 pilot countries and also counts an additional 28 countries as observers. UN-REDD also maintains active global and national programmes that seek to develop common methodologies and tools for operationalizing REDD+.</w:t>
      </w:r>
      <w:r w:rsidRPr="001D1CA1">
        <w:rPr>
          <w:rFonts w:cs="Times New Roman"/>
          <w:vertAlign w:val="superscript"/>
        </w:rPr>
        <w:footnoteReference w:id="65"/>
      </w:r>
      <w:r w:rsidRPr="001D1CA1">
        <w:rPr>
          <w:rFonts w:cs="Times New Roman"/>
        </w:rPr>
        <w:t xml:space="preserve"> </w:t>
      </w:r>
      <w:r w:rsidRPr="001D1CA1">
        <w:rPr>
          <w:rFonts w:cs="Times New Roman"/>
          <w:bCs/>
        </w:rPr>
        <w:t xml:space="preserve">In order to participate in the UN-REDD programme, developing country governments are required to develop and submit a National Programme Document (NPD), which follows an established template, incorporates a number of policy and governance commitments, and is tracked and monitored by UN-REDD staff. </w:t>
      </w:r>
      <w:r w:rsidRPr="001D1CA1">
        <w:rPr>
          <w:rFonts w:cs="Times New Roman"/>
        </w:rPr>
        <w:t>As of 2012, 118 million US dollars have been committed to the UN-REDD programme, of which over 59 million US dollars have been allocated to support the national programmes of pilot countries.</w:t>
      </w:r>
      <w:bookmarkStart w:id="18" w:name="_Ref216429083"/>
      <w:r w:rsidRPr="001D1CA1">
        <w:rPr>
          <w:rFonts w:cs="Times New Roman"/>
          <w:bCs/>
          <w:vertAlign w:val="superscript"/>
        </w:rPr>
        <w:footnoteReference w:id="66"/>
      </w:r>
      <w:bookmarkEnd w:id="18"/>
      <w:r w:rsidRPr="001D1CA1">
        <w:rPr>
          <w:rFonts w:cs="Times New Roman"/>
          <w:bCs/>
        </w:rPr>
        <w:t xml:space="preserve"> </w:t>
      </w:r>
    </w:p>
    <w:p w14:paraId="030B82C8" w14:textId="77777777" w:rsidR="005361B4" w:rsidRPr="001D1CA1" w:rsidRDefault="005361B4" w:rsidP="009F4955">
      <w:pPr>
        <w:rPr>
          <w:rFonts w:cs="Times New Roman"/>
        </w:rPr>
      </w:pPr>
    </w:p>
    <w:p w14:paraId="6BA4F617" w14:textId="77777777" w:rsidR="005361B4" w:rsidRPr="001D1CA1" w:rsidRDefault="005361B4" w:rsidP="009F4955">
      <w:pPr>
        <w:rPr>
          <w:rFonts w:cs="Times New Roman"/>
          <w:bCs/>
          <w:lang w:val="en-US"/>
        </w:rPr>
      </w:pPr>
      <w:r w:rsidRPr="001D1CA1">
        <w:rPr>
          <w:rFonts w:cs="Times New Roman"/>
        </w:rPr>
        <w:t xml:space="preserve">The second is the World Bank’s Forest Carbon Partnership Facility (FCPF), also established in 2008. The FCPF includes </w:t>
      </w:r>
      <w:r w:rsidRPr="001D1CA1">
        <w:rPr>
          <w:rFonts w:cs="Times New Roman"/>
          <w:bCs/>
        </w:rPr>
        <w:t>a Readiness Mechanism that provides funding to support develop country capacity-building and preparedness for REDD+ activities and a Carbon Finance Mechanism to test public/private systems for performance-based REDD+ demonstration activities. The Readiness Mechanism has eleven donor countries and 37 beneficiary countries at varying stages of national REDD+ readiness.</w:t>
      </w:r>
      <w:r w:rsidRPr="001D1CA1">
        <w:rPr>
          <w:rFonts w:cs="Times New Roman"/>
          <w:bCs/>
          <w:vertAlign w:val="superscript"/>
        </w:rPr>
        <w:footnoteReference w:id="67"/>
      </w:r>
      <w:r w:rsidRPr="001D1CA1">
        <w:rPr>
          <w:rFonts w:cs="Times New Roman"/>
          <w:bCs/>
        </w:rPr>
        <w:t xml:space="preserve"> Like the UN-REDD programme, participation in the Readiness Mechanism requires the conclusion of a template document – the Readiness Preparation Proposal (RPP) – that comes with a host of conditions, addresses standard policy and governance issues, and is subject to review and monitoring. As of 2012, more than 230 million US dollars have been pledged to the FPCF and </w:t>
      </w:r>
      <w:r w:rsidRPr="001D1CA1">
        <w:rPr>
          <w:rFonts w:cs="Times New Roman"/>
          <w:bCs/>
          <w:lang w:val="en-US"/>
        </w:rPr>
        <w:t>75 million US dollars have been allocated to countries for implementation of their RPPs.</w:t>
      </w:r>
      <w:r w:rsidRPr="001D1CA1">
        <w:rPr>
          <w:rStyle w:val="FootnoteReference"/>
          <w:rFonts w:cs="Times New Roman"/>
          <w:bCs/>
          <w:lang w:val="en-US"/>
        </w:rPr>
        <w:footnoteReference w:id="68"/>
      </w:r>
    </w:p>
    <w:p w14:paraId="3281BC7B" w14:textId="77777777" w:rsidR="005361B4" w:rsidRPr="001D1CA1" w:rsidRDefault="005361B4" w:rsidP="009F4955">
      <w:pPr>
        <w:rPr>
          <w:rFonts w:cs="Times New Roman"/>
          <w:bCs/>
        </w:rPr>
      </w:pPr>
    </w:p>
    <w:p w14:paraId="36288949" w14:textId="77777777" w:rsidR="005361B4" w:rsidRPr="001D1CA1" w:rsidRDefault="005361B4" w:rsidP="009F4955">
      <w:pPr>
        <w:rPr>
          <w:rFonts w:cs="Times New Roman"/>
          <w:bCs/>
        </w:rPr>
      </w:pPr>
      <w:r w:rsidRPr="001D1CA1">
        <w:rPr>
          <w:rFonts w:cs="Times New Roman"/>
        </w:rPr>
        <w:t xml:space="preserve">The third is the REDD+ Partnership which was created in 2010 to serve as the interim international platform for REDD+ pending its full establishment under the UNFCCC. </w:t>
      </w:r>
      <w:r w:rsidRPr="001D1CA1">
        <w:rPr>
          <w:rFonts w:cs="Times New Roman"/>
          <w:iCs/>
        </w:rPr>
        <w:t xml:space="preserve">Rather than deliver direct support to domestic REDD+ readiness efforts, it </w:t>
      </w:r>
      <w:r w:rsidRPr="001D1CA1">
        <w:rPr>
          <w:rFonts w:cs="Times New Roman"/>
        </w:rPr>
        <w:t>aims “</w:t>
      </w:r>
      <w:r w:rsidRPr="001D1CA1">
        <w:rPr>
          <w:rFonts w:cs="Times New Roman"/>
          <w:iCs/>
        </w:rPr>
        <w:t>to scale up REDD+ actions and finance, and to that end to take immediate action, including improving the effectiveness, efficiency, transparency and coordination of REDD+ initiatives and financial instruments, to facilitate among other things knowledge transfer, capacity enhancement, mitigation actions and technology development and transfer.”</w:t>
      </w:r>
      <w:r w:rsidRPr="001D1CA1">
        <w:rPr>
          <w:rFonts w:cs="Times New Roman"/>
          <w:iCs/>
          <w:vertAlign w:val="superscript"/>
        </w:rPr>
        <w:footnoteReference w:id="69"/>
      </w:r>
      <w:r w:rsidRPr="001D1CA1">
        <w:rPr>
          <w:rFonts w:cs="Times New Roman"/>
          <w:iCs/>
        </w:rPr>
        <w:t xml:space="preserve"> The REDD+ Partnership now includes 73 country partners and continues to play an important role in coordinating REDD+ readiness efforts and collecting and sharing information across different initiatives.</w:t>
      </w:r>
      <w:r w:rsidRPr="001D1CA1">
        <w:rPr>
          <w:rStyle w:val="FootnoteReference"/>
          <w:rFonts w:cs="Times New Roman"/>
          <w:iCs/>
        </w:rPr>
        <w:footnoteReference w:id="70"/>
      </w:r>
      <w:r w:rsidRPr="001D1CA1">
        <w:rPr>
          <w:rFonts w:cs="Times New Roman"/>
          <w:iCs/>
        </w:rPr>
        <w:t xml:space="preserve"> </w:t>
      </w:r>
    </w:p>
    <w:p w14:paraId="32F64E83" w14:textId="77777777" w:rsidR="00431664" w:rsidRDefault="00431664" w:rsidP="009F4955">
      <w:pPr>
        <w:rPr>
          <w:rFonts w:cs="Times New Roman"/>
        </w:rPr>
      </w:pPr>
    </w:p>
    <w:p w14:paraId="22100C7D" w14:textId="77777777" w:rsidR="005361B4" w:rsidRPr="001D1CA1" w:rsidRDefault="005361B4" w:rsidP="009F4955">
      <w:pPr>
        <w:rPr>
          <w:rFonts w:cs="Times New Roman"/>
        </w:rPr>
      </w:pPr>
      <w:r w:rsidRPr="001D1CA1">
        <w:rPr>
          <w:rFonts w:cs="Times New Roman"/>
        </w:rPr>
        <w:t>Other significant multilateral initiatives that also provide support to national REDD+ readiness efforts in developing countries include the Forest Investment Program (FIP), established by the multilateral development banks through their collaborative Strategic Climate Fund</w:t>
      </w:r>
      <w:r w:rsidRPr="001D1CA1">
        <w:rPr>
          <w:rFonts w:cs="Times New Roman"/>
          <w:vertAlign w:val="superscript"/>
        </w:rPr>
        <w:footnoteReference w:id="71"/>
      </w:r>
      <w:r w:rsidRPr="001D1CA1">
        <w:rPr>
          <w:rFonts w:cs="Times New Roman"/>
        </w:rPr>
        <w:t xml:space="preserve"> and the REDD+ investment programme initiated by the Global Environment Facility (GEF).</w:t>
      </w:r>
      <w:r w:rsidRPr="001D1CA1">
        <w:rPr>
          <w:rFonts w:cs="Times New Roman"/>
          <w:vertAlign w:val="superscript"/>
        </w:rPr>
        <w:footnoteReference w:id="72"/>
      </w:r>
      <w:r w:rsidRPr="001D1CA1">
        <w:rPr>
          <w:rFonts w:cs="Times New Roman"/>
        </w:rPr>
        <w:t xml:space="preserve"> The Congo Basin Forest Fund is one example of an </w:t>
      </w:r>
      <w:r w:rsidRPr="001D1CA1">
        <w:rPr>
          <w:rFonts w:cs="Times New Roman"/>
          <w:i/>
        </w:rPr>
        <w:t>ad hoc</w:t>
      </w:r>
      <w:r w:rsidRPr="001D1CA1">
        <w:rPr>
          <w:rFonts w:cs="Times New Roman"/>
        </w:rPr>
        <w:t xml:space="preserve"> multilateral fund that has been established to channel funding toward forest carbon sequestration activities in a particular region. Unlike other multilateral initiatives, this fund provides support to NGOs (as opposed to states) implementing REDD+ projects or testing REDD+ methodologies at the local level.</w:t>
      </w:r>
      <w:r w:rsidRPr="001D1CA1">
        <w:rPr>
          <w:rFonts w:cs="Times New Roman"/>
          <w:vertAlign w:val="superscript"/>
        </w:rPr>
        <w:footnoteReference w:id="73"/>
      </w:r>
      <w:r w:rsidRPr="001D1CA1">
        <w:rPr>
          <w:rFonts w:cs="Times New Roman"/>
        </w:rPr>
        <w:t xml:space="preserve"> </w:t>
      </w:r>
    </w:p>
    <w:p w14:paraId="5CBBD3CD" w14:textId="77777777" w:rsidR="005361B4" w:rsidRPr="001D1CA1" w:rsidRDefault="005361B4" w:rsidP="009F4955">
      <w:pPr>
        <w:rPr>
          <w:rFonts w:cs="Times New Roman"/>
        </w:rPr>
      </w:pPr>
    </w:p>
    <w:p w14:paraId="7AC08BEB" w14:textId="77777777" w:rsidR="005361B4" w:rsidRPr="001D1CA1" w:rsidRDefault="005361B4" w:rsidP="009F4955">
      <w:pPr>
        <w:rPr>
          <w:rFonts w:cs="Times New Roman"/>
          <w:bCs/>
        </w:rPr>
      </w:pPr>
      <w:r w:rsidRPr="001D1CA1">
        <w:rPr>
          <w:rFonts w:cs="Times New Roman"/>
        </w:rPr>
        <w:t xml:space="preserve">In addition, a number of developed countries have also established bilateral programmes to support the REDD+ readiness phase. The most important among these is the Norwegian </w:t>
      </w:r>
      <w:r w:rsidRPr="001D1CA1">
        <w:rPr>
          <w:rFonts w:cs="Times New Roman"/>
          <w:bCs/>
        </w:rPr>
        <w:t>International Climate and Forest Initiative (NICFI) launched in 2007.</w:t>
      </w:r>
      <w:r w:rsidRPr="001D1CA1">
        <w:rPr>
          <w:rFonts w:cs="Times New Roman"/>
          <w:bCs/>
          <w:vertAlign w:val="superscript"/>
        </w:rPr>
        <w:footnoteReference w:id="74"/>
      </w:r>
      <w:r w:rsidRPr="001D1CA1">
        <w:rPr>
          <w:rFonts w:cs="Times New Roman"/>
          <w:bCs/>
        </w:rPr>
        <w:t xml:space="preserve"> As part of the NICFI, Norway has pledged several billion dollars in funding to support the development and implementation of REDD+, through pledges to established multilateral funds as well as partnerships with five country partners: Brazil, Guyana, Indonesia, Mexico, and Tanzania. Through a combination of diplomacy, development aid, research, and technical assistance, the NICFI “seeks to influence the policy process by adding momentum to finalising an international REDD+ agreement, contributing to the detail of the emerging mechanisms and establishing real examples through national-level agreements with key REDD-relevant countries.”</w:t>
      </w:r>
      <w:r w:rsidRPr="001D1CA1">
        <w:rPr>
          <w:rFonts w:cs="Times New Roman"/>
          <w:bCs/>
          <w:vertAlign w:val="superscript"/>
        </w:rPr>
        <w:footnoteReference w:id="75"/>
      </w:r>
      <w:r w:rsidRPr="001D1CA1">
        <w:rPr>
          <w:rFonts w:cs="Times New Roman"/>
          <w:bCs/>
        </w:rPr>
        <w:t xml:space="preserve"> Other important bilateral initiatives supporting the global diffusion of REDD+ include</w:t>
      </w:r>
      <w:r w:rsidRPr="001D1CA1">
        <w:rPr>
          <w:rFonts w:cs="Times New Roman"/>
        </w:rPr>
        <w:t xml:space="preserve"> the </w:t>
      </w:r>
      <w:r w:rsidRPr="001D1CA1">
        <w:rPr>
          <w:rFonts w:cs="Times New Roman"/>
          <w:bCs/>
        </w:rPr>
        <w:t xml:space="preserve">Australia’s </w:t>
      </w:r>
      <w:r w:rsidRPr="001D1CA1">
        <w:rPr>
          <w:rFonts w:cs="Times New Roman"/>
          <w:bCs/>
          <w:lang w:val="en-US"/>
        </w:rPr>
        <w:t>International Forest Carbon Initiative</w:t>
      </w:r>
      <w:r w:rsidRPr="001D1CA1">
        <w:rPr>
          <w:rFonts w:cs="Times New Roman"/>
          <w:bCs/>
        </w:rPr>
        <w:t>,</w:t>
      </w:r>
      <w:r w:rsidRPr="001D1CA1">
        <w:rPr>
          <w:rStyle w:val="FootnoteReference"/>
          <w:rFonts w:cs="Times New Roman"/>
          <w:bCs/>
        </w:rPr>
        <w:footnoteReference w:id="76"/>
      </w:r>
      <w:r w:rsidRPr="001D1CA1">
        <w:rPr>
          <w:rFonts w:cs="Times New Roman"/>
          <w:bCs/>
        </w:rPr>
        <w:t xml:space="preserve"> Germany’s Forests and Climate Change Programme,</w:t>
      </w:r>
      <w:r w:rsidRPr="001D1CA1">
        <w:rPr>
          <w:rStyle w:val="FootnoteReference"/>
          <w:rFonts w:cs="Times New Roman"/>
          <w:bCs/>
        </w:rPr>
        <w:footnoteReference w:id="77"/>
      </w:r>
      <w:r w:rsidRPr="001D1CA1">
        <w:rPr>
          <w:rFonts w:cs="Times New Roman"/>
          <w:bCs/>
        </w:rPr>
        <w:t xml:space="preserve"> and the US REDD+ Strategy.</w:t>
      </w:r>
      <w:r w:rsidRPr="001D1CA1">
        <w:rPr>
          <w:rStyle w:val="FootnoteReference"/>
          <w:rFonts w:cs="Times New Roman"/>
          <w:bCs/>
        </w:rPr>
        <w:footnoteReference w:id="78"/>
      </w:r>
      <w:r w:rsidRPr="001D1CA1">
        <w:rPr>
          <w:rFonts w:cs="Times New Roman"/>
          <w:bCs/>
        </w:rPr>
        <w:t xml:space="preserve"> Like the NICFI, these initiatives may allocate funding to existing multilateral initiatives, provide direct support to non-governmental projects and develop bilateral aid and cooperation agreements with developing country partners. </w:t>
      </w:r>
    </w:p>
    <w:p w14:paraId="611B7175" w14:textId="77777777" w:rsidR="005361B4" w:rsidRPr="001D1CA1" w:rsidRDefault="005361B4" w:rsidP="009F4955">
      <w:pPr>
        <w:rPr>
          <w:rFonts w:cs="Times New Roman"/>
          <w:bCs/>
        </w:rPr>
      </w:pPr>
    </w:p>
    <w:p w14:paraId="7AF37F44" w14:textId="47C4B9DF" w:rsidR="005361B4" w:rsidRPr="001D1CA1" w:rsidRDefault="005361B4" w:rsidP="009F4955">
      <w:pPr>
        <w:rPr>
          <w:rFonts w:cs="Times New Roman"/>
        </w:rPr>
      </w:pPr>
      <w:r w:rsidRPr="001D1CA1">
        <w:rPr>
          <w:rFonts w:cs="Times New Roman"/>
        </w:rPr>
        <w:t>Non-governmental actors are also involved in different capacities and at different levels within the REDD+ readiness phase. Large international conservation NGOs like Conservation International or the Nature Conservancy as well as local NGOs and communities are actively involved in the management and implementation of particular REDD+ demonstration projects. In addition, a wide variety of international and domestic environmental, development, human rights, and Indigenous rights NGOs such as Greenpeace or the Forest Peoples Programme have played active roles in seeking to shape or oppose the REDD+ readiness phase at various levels.</w:t>
      </w:r>
      <w:r w:rsidRPr="001D1CA1">
        <w:rPr>
          <w:rStyle w:val="FootnoteReference"/>
          <w:rFonts w:cs="Times New Roman"/>
        </w:rPr>
        <w:footnoteReference w:id="79"/>
      </w:r>
      <w:r w:rsidRPr="001D1CA1">
        <w:rPr>
          <w:rFonts w:cs="Times New Roman"/>
        </w:rPr>
        <w:t xml:space="preserve"> Numerous non-governmental actors have also played critical roles in the development of new tools, guidance materials, and certification programmes for REDD+.</w:t>
      </w:r>
      <w:r w:rsidRPr="001D1CA1">
        <w:rPr>
          <w:rStyle w:val="FootnoteReference"/>
          <w:rFonts w:cs="Times New Roman"/>
        </w:rPr>
        <w:footnoteReference w:id="80"/>
      </w:r>
      <w:r w:rsidRPr="001D1CA1">
        <w:rPr>
          <w:rFonts w:cs="Times New Roman"/>
        </w:rPr>
        <w:t xml:space="preserve"> Lastly, private sector actors have been participated in the REDD+ readiness phase by investing and developing forest carbon sequestration projects, brokering and auditing carbon projects and transactions, providing technical assistance and advice, and purchasing emissions reductions.</w:t>
      </w:r>
      <w:r w:rsidRPr="001D1CA1">
        <w:rPr>
          <w:rFonts w:cs="Times New Roman"/>
          <w:vertAlign w:val="superscript"/>
        </w:rPr>
        <w:footnoteReference w:id="81"/>
      </w:r>
    </w:p>
    <w:p w14:paraId="1A1F62B7" w14:textId="77777777" w:rsidR="005361B4" w:rsidRPr="001D1CA1" w:rsidRDefault="005361B4" w:rsidP="009F4955"/>
    <w:p w14:paraId="77C785DF" w14:textId="6A66509B" w:rsidR="00CC2A63" w:rsidRPr="001D1CA1" w:rsidRDefault="005361B4" w:rsidP="009F4955">
      <w:pPr>
        <w:pStyle w:val="Heading2"/>
        <w:rPr>
          <w:smallCaps w:val="0"/>
        </w:rPr>
      </w:pPr>
      <w:r w:rsidRPr="001D1CA1">
        <w:rPr>
          <w:smallCaps w:val="0"/>
        </w:rPr>
        <w:t xml:space="preserve">3. </w:t>
      </w:r>
      <w:r w:rsidR="00814760" w:rsidRPr="001D1CA1">
        <w:rPr>
          <w:smallCaps w:val="0"/>
        </w:rPr>
        <w:t>Existing Literature on Rights and REDD+</w:t>
      </w:r>
    </w:p>
    <w:p w14:paraId="775FBCA3" w14:textId="77777777" w:rsidR="007E56A0" w:rsidRPr="001D1CA1" w:rsidRDefault="007E56A0" w:rsidP="009F4955"/>
    <w:p w14:paraId="7C971E1D" w14:textId="766E1A53" w:rsidR="004F5376" w:rsidRPr="001D1CA1" w:rsidRDefault="005763CD" w:rsidP="009F4955">
      <w:r w:rsidRPr="001D1CA1">
        <w:t>Although the negoti</w:t>
      </w:r>
      <w:r w:rsidR="00540976" w:rsidRPr="001D1CA1">
        <w:t>ations and preparations for an eventual</w:t>
      </w:r>
      <w:r w:rsidRPr="001D1CA1">
        <w:t xml:space="preserve"> REDD+</w:t>
      </w:r>
      <w:r w:rsidR="00540976" w:rsidRPr="001D1CA1">
        <w:t xml:space="preserve"> mechanism are only a few years old, a relatively extensive literature has emerged around the legal, policy, and governance implications of </w:t>
      </w:r>
      <w:r w:rsidR="00307C5E" w:rsidRPr="001D1CA1">
        <w:t xml:space="preserve">an eventual </w:t>
      </w:r>
      <w:r w:rsidR="00540976" w:rsidRPr="001D1CA1">
        <w:t>REDD+</w:t>
      </w:r>
      <w:r w:rsidR="00307C5E" w:rsidRPr="001D1CA1">
        <w:t xml:space="preserve"> mechanism and its domestic operationalization</w:t>
      </w:r>
      <w:r w:rsidR="00540976" w:rsidRPr="001D1CA1">
        <w:t>.</w:t>
      </w:r>
      <w:bookmarkStart w:id="19" w:name="_Ref223455662"/>
      <w:r w:rsidR="00540976" w:rsidRPr="001D1CA1">
        <w:rPr>
          <w:rStyle w:val="FootnoteReference"/>
        </w:rPr>
        <w:footnoteReference w:id="82"/>
      </w:r>
      <w:bookmarkEnd w:id="19"/>
      <w:r w:rsidR="00540976" w:rsidRPr="001D1CA1">
        <w:t xml:space="preserve"> </w:t>
      </w:r>
    </w:p>
    <w:p w14:paraId="50C6D82B" w14:textId="77777777" w:rsidR="007E56A0" w:rsidRPr="001D1CA1" w:rsidRDefault="007E56A0" w:rsidP="009F4955"/>
    <w:p w14:paraId="183E0606" w14:textId="4C6B3FC9" w:rsidR="00445AFE" w:rsidRPr="001D1CA1" w:rsidRDefault="00540976" w:rsidP="009F4955">
      <w:r w:rsidRPr="001D1CA1">
        <w:t>Some of this</w:t>
      </w:r>
      <w:r w:rsidR="0013711C" w:rsidRPr="001D1CA1">
        <w:t xml:space="preserve"> literature suggests</w:t>
      </w:r>
      <w:r w:rsidR="00583B66" w:rsidRPr="001D1CA1">
        <w:t xml:space="preserve"> that REDD+</w:t>
      </w:r>
      <w:r w:rsidR="00445AFE" w:rsidRPr="001D1CA1">
        <w:t xml:space="preserve"> has the potential to protect and promote the rights of Indigenous and </w:t>
      </w:r>
      <w:r w:rsidR="00583B66" w:rsidRPr="001D1CA1">
        <w:t xml:space="preserve">forest-dependent communities in a number of ways. </w:t>
      </w:r>
      <w:r w:rsidR="009773EE" w:rsidRPr="001D1CA1">
        <w:t>First</w:t>
      </w:r>
      <w:r w:rsidR="00DF3E96" w:rsidRPr="001D1CA1">
        <w:t>,</w:t>
      </w:r>
      <w:r w:rsidR="00583B66" w:rsidRPr="001D1CA1">
        <w:t xml:space="preserve"> </w:t>
      </w:r>
      <w:r w:rsidR="00445AFE" w:rsidRPr="001D1CA1">
        <w:t>conserving forests and addressing the external d</w:t>
      </w:r>
      <w:r w:rsidR="00583B66" w:rsidRPr="001D1CA1">
        <w:t>rivers of deforestation may in of itself</w:t>
      </w:r>
      <w:r w:rsidR="00445AFE" w:rsidRPr="001D1CA1">
        <w:t xml:space="preserve"> serve to protect</w:t>
      </w:r>
      <w:r w:rsidR="007A0EF7" w:rsidRPr="001D1CA1">
        <w:t xml:space="preserve"> and enforce</w:t>
      </w:r>
      <w:r w:rsidR="00445AFE" w:rsidRPr="001D1CA1">
        <w:t xml:space="preserve"> the rights and traditional territories of these communities, which are frequently threatened by large-scale commercial logging or forest conversion</w:t>
      </w:r>
      <w:r w:rsidR="006C3FC7" w:rsidRPr="001D1CA1">
        <w:t xml:space="preserve"> practices</w:t>
      </w:r>
      <w:r w:rsidR="00445AFE" w:rsidRPr="001D1CA1">
        <w:t>.</w:t>
      </w:r>
      <w:r w:rsidR="00445AFE" w:rsidRPr="001D1CA1">
        <w:rPr>
          <w:vertAlign w:val="superscript"/>
        </w:rPr>
        <w:footnoteReference w:id="83"/>
      </w:r>
      <w:r w:rsidR="00583B66" w:rsidRPr="001D1CA1">
        <w:t xml:space="preserve"> </w:t>
      </w:r>
      <w:r w:rsidR="009773EE" w:rsidRPr="001D1CA1">
        <w:t>Second</w:t>
      </w:r>
      <w:r w:rsidR="00DF3E96" w:rsidRPr="001D1CA1">
        <w:t>,</w:t>
      </w:r>
      <w:r w:rsidR="00445AFE" w:rsidRPr="001D1CA1">
        <w:t xml:space="preserve"> the equitable distribution of</w:t>
      </w:r>
      <w:r w:rsidR="00F25828" w:rsidRPr="001D1CA1">
        <w:t xml:space="preserve"> benefits derived from</w:t>
      </w:r>
      <w:r w:rsidR="00445AFE" w:rsidRPr="001D1CA1">
        <w:t xml:space="preserve"> </w:t>
      </w:r>
      <w:r w:rsidR="00AE3C6A" w:rsidRPr="001D1CA1">
        <w:t>REDD+ funding</w:t>
      </w:r>
      <w:r w:rsidR="00445AFE" w:rsidRPr="001D1CA1">
        <w:t xml:space="preserve"> among and within communities</w:t>
      </w:r>
      <w:r w:rsidR="00DF3E96" w:rsidRPr="001D1CA1">
        <w:t>, as well as their integration into community forest monitoring schemes,</w:t>
      </w:r>
      <w:r w:rsidR="00445AFE" w:rsidRPr="001D1CA1">
        <w:t xml:space="preserve"> may also support their sustai</w:t>
      </w:r>
      <w:r w:rsidR="00583B66" w:rsidRPr="001D1CA1">
        <w:t>nable livelihoods and practices</w:t>
      </w:r>
      <w:r w:rsidR="00DF3E96" w:rsidRPr="001D1CA1">
        <w:t>.</w:t>
      </w:r>
      <w:r w:rsidR="00445AFE" w:rsidRPr="001D1CA1">
        <w:rPr>
          <w:vertAlign w:val="superscript"/>
        </w:rPr>
        <w:footnoteReference w:id="84"/>
      </w:r>
      <w:r w:rsidR="00F654AA" w:rsidRPr="001D1CA1">
        <w:t xml:space="preserve"> </w:t>
      </w:r>
      <w:r w:rsidR="00EF4506" w:rsidRPr="001D1CA1">
        <w:t xml:space="preserve">Third, </w:t>
      </w:r>
      <w:r w:rsidR="009773EE" w:rsidRPr="001D1CA1">
        <w:t xml:space="preserve">the </w:t>
      </w:r>
      <w:r w:rsidR="00DF3E96" w:rsidRPr="001D1CA1">
        <w:t>REDD+ readiness phase</w:t>
      </w:r>
      <w:r w:rsidR="00154888" w:rsidRPr="001D1CA1">
        <w:t xml:space="preserve"> </w:t>
      </w:r>
      <w:r w:rsidR="00EF4506" w:rsidRPr="001D1CA1">
        <w:t>also has the potential to lead</w:t>
      </w:r>
      <w:r w:rsidR="00154888" w:rsidRPr="001D1CA1">
        <w:t xml:space="preserve"> to the recognition, clarification, or enforcement of the land and tenure rights of Indigenous and forest-dependent communities. </w:t>
      </w:r>
      <w:r w:rsidR="009773EE" w:rsidRPr="001D1CA1">
        <w:rPr>
          <w:bCs/>
        </w:rPr>
        <w:t>A</w:t>
      </w:r>
      <w:r w:rsidR="00CA2E83" w:rsidRPr="001D1CA1">
        <w:rPr>
          <w:bCs/>
        </w:rPr>
        <w:t>ccording to Hatcher, a</w:t>
      </w:r>
      <w:r w:rsidR="009773EE" w:rsidRPr="001D1CA1">
        <w:rPr>
          <w:bCs/>
        </w:rPr>
        <w:t xml:space="preserve"> </w:t>
      </w:r>
      <w:r w:rsidR="005973C1" w:rsidRPr="001D1CA1">
        <w:rPr>
          <w:bCs/>
        </w:rPr>
        <w:t xml:space="preserve">variety of </w:t>
      </w:r>
      <w:r w:rsidR="00CE071E" w:rsidRPr="001D1CA1">
        <w:rPr>
          <w:bCs/>
        </w:rPr>
        <w:t>actors</w:t>
      </w:r>
      <w:bookmarkStart w:id="20" w:name="_Ref194558826"/>
      <w:r w:rsidR="00C1682F" w:rsidRPr="001D1CA1">
        <w:rPr>
          <w:bCs/>
        </w:rPr>
        <w:t xml:space="preserve"> involved in </w:t>
      </w:r>
      <w:r w:rsidR="009773EE" w:rsidRPr="001D1CA1">
        <w:rPr>
          <w:bCs/>
        </w:rPr>
        <w:t>REDD+ readiness efforts</w:t>
      </w:r>
      <w:r w:rsidR="005973C1" w:rsidRPr="001D1CA1">
        <w:rPr>
          <w:bCs/>
        </w:rPr>
        <w:t xml:space="preserve"> increasingly</w:t>
      </w:r>
      <w:r w:rsidR="00CE071E" w:rsidRPr="001D1CA1">
        <w:rPr>
          <w:bCs/>
        </w:rPr>
        <w:t xml:space="preserve"> </w:t>
      </w:r>
      <w:r w:rsidR="00357830" w:rsidRPr="001D1CA1">
        <w:rPr>
          <w:bCs/>
        </w:rPr>
        <w:t>recognise that clearly established land and tenure rights</w:t>
      </w:r>
      <w:r w:rsidR="00445AFE" w:rsidRPr="001D1CA1">
        <w:rPr>
          <w:bCs/>
        </w:rPr>
        <w:t xml:space="preserve"> </w:t>
      </w:r>
      <w:r w:rsidR="00357830" w:rsidRPr="001D1CA1">
        <w:rPr>
          <w:bCs/>
        </w:rPr>
        <w:t>are</w:t>
      </w:r>
      <w:r w:rsidR="00445AFE" w:rsidRPr="001D1CA1">
        <w:rPr>
          <w:lang w:val="en-US"/>
        </w:rPr>
        <w:t xml:space="preserve"> “fundamental to secure and predicable transactions needed to compensate for the opportunity costs of reducing emissions from deforestation and degradation.”</w:t>
      </w:r>
      <w:r w:rsidR="00445AFE" w:rsidRPr="001D1CA1">
        <w:rPr>
          <w:vertAlign w:val="superscript"/>
        </w:rPr>
        <w:footnoteReference w:id="85"/>
      </w:r>
      <w:bookmarkEnd w:id="20"/>
      <w:r w:rsidR="00445AFE" w:rsidRPr="001D1CA1">
        <w:rPr>
          <w:lang w:val="en-US"/>
        </w:rPr>
        <w:t xml:space="preserve"> </w:t>
      </w:r>
      <w:r w:rsidR="005973C1" w:rsidRPr="001D1CA1">
        <w:rPr>
          <w:lang w:val="en-US"/>
        </w:rPr>
        <w:t xml:space="preserve">At a more practical level, </w:t>
      </w:r>
      <w:r w:rsidR="00445AFE" w:rsidRPr="001D1CA1">
        <w:rPr>
          <w:bCs/>
        </w:rPr>
        <w:t>Seymour conjectures that “governments and private sector proponents could be forced to negotiate with rural communities who are in a position to control whether or not forests are functionally protected from fire, theft, conversion and other threats.”</w:t>
      </w:r>
      <w:r w:rsidR="00445AFE" w:rsidRPr="001D1CA1">
        <w:rPr>
          <w:rStyle w:val="FootnoteReference"/>
        </w:rPr>
        <w:t xml:space="preserve"> </w:t>
      </w:r>
      <w:bookmarkStart w:id="21" w:name="_Ref209679721"/>
      <w:r w:rsidR="00445AFE" w:rsidRPr="001D1CA1">
        <w:rPr>
          <w:rStyle w:val="FootnoteReference"/>
        </w:rPr>
        <w:footnoteReference w:id="86"/>
      </w:r>
      <w:bookmarkEnd w:id="21"/>
      <w:r w:rsidR="00445AFE" w:rsidRPr="001D1CA1">
        <w:t xml:space="preserve"> </w:t>
      </w:r>
      <w:r w:rsidR="009773EE" w:rsidRPr="001D1CA1">
        <w:rPr>
          <w:lang w:val="en-US"/>
        </w:rPr>
        <w:t>As a result, the issue of tenure reform</w:t>
      </w:r>
      <w:r w:rsidR="009773EE" w:rsidRPr="001D1CA1">
        <w:rPr>
          <w:bCs/>
        </w:rPr>
        <w:t xml:space="preserve"> has clearly emerged as a central consideration in international and domestic REDD+ readiness efforts.</w:t>
      </w:r>
      <w:r w:rsidR="009773EE" w:rsidRPr="001D1CA1">
        <w:rPr>
          <w:rStyle w:val="FootnoteReference"/>
          <w:bCs/>
        </w:rPr>
        <w:footnoteReference w:id="87"/>
      </w:r>
      <w:r w:rsidR="009773EE" w:rsidRPr="001D1CA1">
        <w:rPr>
          <w:bCs/>
        </w:rPr>
        <w:t xml:space="preserve"> </w:t>
      </w:r>
      <w:r w:rsidR="00EF4506" w:rsidRPr="001D1CA1">
        <w:rPr>
          <w:bCs/>
        </w:rPr>
        <w:t xml:space="preserve">Fourth, </w:t>
      </w:r>
      <w:r w:rsidR="00EF4506" w:rsidRPr="001D1CA1">
        <w:t>numerous</w:t>
      </w:r>
      <w:r w:rsidR="00F654AA" w:rsidRPr="001D1CA1">
        <w:t xml:space="preserve"> safeguards initiatives </w:t>
      </w:r>
      <w:r w:rsidR="00EF4506" w:rsidRPr="001D1CA1">
        <w:t>have been developed</w:t>
      </w:r>
      <w:r w:rsidR="00F654AA" w:rsidRPr="001D1CA1">
        <w:t xml:space="preserve"> to </w:t>
      </w:r>
      <w:r w:rsidR="00EF4506" w:rsidRPr="001D1CA1">
        <w:t>prevent any</w:t>
      </w:r>
      <w:r w:rsidR="00F654AA" w:rsidRPr="001D1CA1">
        <w:t xml:space="preserve"> neg</w:t>
      </w:r>
      <w:r w:rsidR="00EF4506" w:rsidRPr="001D1CA1">
        <w:t>ative social impacts from</w:t>
      </w:r>
      <w:r w:rsidR="00F654AA" w:rsidRPr="001D1CA1">
        <w:t xml:space="preserve"> REDD+</w:t>
      </w:r>
      <w:r w:rsidR="00EF4506" w:rsidRPr="001D1CA1">
        <w:t xml:space="preserve"> activities</w:t>
      </w:r>
      <w:r w:rsidR="00F654AA" w:rsidRPr="001D1CA1">
        <w:t xml:space="preserve"> and</w:t>
      </w:r>
      <w:r w:rsidR="00EF4506" w:rsidRPr="001D1CA1">
        <w:t xml:space="preserve"> to</w:t>
      </w:r>
      <w:r w:rsidR="00F654AA" w:rsidRPr="001D1CA1">
        <w:t xml:space="preserve"> </w:t>
      </w:r>
      <w:r w:rsidR="00655210" w:rsidRPr="001D1CA1">
        <w:t>ensure respect for the rights of</w:t>
      </w:r>
      <w:r w:rsidR="00F654AA" w:rsidRPr="001D1CA1">
        <w:t xml:space="preserve"> Indigenous and forest-dependent communities. </w:t>
      </w:r>
      <w:r w:rsidR="00EF4506" w:rsidRPr="001D1CA1">
        <w:t>Although these safeguards initiatives are voluntary or private in nature, the</w:t>
      </w:r>
      <w:r w:rsidR="00655210" w:rsidRPr="001D1CA1">
        <w:t xml:space="preserve"> aid and market</w:t>
      </w:r>
      <w:r w:rsidR="00EF4506" w:rsidRPr="001D1CA1">
        <w:t xml:space="preserve"> </w:t>
      </w:r>
      <w:r w:rsidR="00655210" w:rsidRPr="001D1CA1">
        <w:rPr>
          <w:bCs/>
        </w:rPr>
        <w:t>conditionalities</w:t>
      </w:r>
      <w:r w:rsidR="00F654AA" w:rsidRPr="001D1CA1">
        <w:rPr>
          <w:bCs/>
        </w:rPr>
        <w:t xml:space="preserve"> associated with </w:t>
      </w:r>
      <w:r w:rsidR="00655210" w:rsidRPr="001D1CA1">
        <w:rPr>
          <w:bCs/>
        </w:rPr>
        <w:t>them</w:t>
      </w:r>
      <w:r w:rsidR="00F654AA" w:rsidRPr="001D1CA1">
        <w:rPr>
          <w:bCs/>
        </w:rPr>
        <w:t xml:space="preserve"> may yet play an important role in ensuring </w:t>
      </w:r>
      <w:r w:rsidR="00253F8E" w:rsidRPr="001D1CA1">
        <w:rPr>
          <w:bCs/>
        </w:rPr>
        <w:t>their effectiveness</w:t>
      </w:r>
      <w:r w:rsidR="00F654AA" w:rsidRPr="001D1CA1">
        <w:rPr>
          <w:bCs/>
        </w:rPr>
        <w:t>.</w:t>
      </w:r>
      <w:r w:rsidR="00F654AA" w:rsidRPr="001D1CA1">
        <w:rPr>
          <w:rStyle w:val="FootnoteReference"/>
        </w:rPr>
        <w:footnoteReference w:id="88"/>
      </w:r>
      <w:r w:rsidR="00655210" w:rsidRPr="001D1CA1">
        <w:t xml:space="preserve"> </w:t>
      </w:r>
      <w:r w:rsidR="004F232A" w:rsidRPr="001D1CA1">
        <w:t>Through its focus on conserving forests</w:t>
      </w:r>
      <w:r w:rsidR="00F654AA" w:rsidRPr="001D1CA1">
        <w:t xml:space="preserve">, the livelihood benefits it may provide, </w:t>
      </w:r>
      <w:r w:rsidR="009773EE" w:rsidRPr="001D1CA1">
        <w:t>its</w:t>
      </w:r>
      <w:r w:rsidR="00F654AA" w:rsidRPr="001D1CA1">
        <w:t xml:space="preserve"> </w:t>
      </w:r>
      <w:r w:rsidR="00655210" w:rsidRPr="001D1CA1">
        <w:t xml:space="preserve">potential for </w:t>
      </w:r>
      <w:r w:rsidR="004F232A" w:rsidRPr="001D1CA1">
        <w:t xml:space="preserve">clarifying forest tenure rights, </w:t>
      </w:r>
      <w:r w:rsidR="00655210" w:rsidRPr="001D1CA1">
        <w:t xml:space="preserve">and its </w:t>
      </w:r>
      <w:r w:rsidR="00253F8E" w:rsidRPr="001D1CA1">
        <w:t>safeguards initiatives</w:t>
      </w:r>
      <w:r w:rsidR="00655210" w:rsidRPr="001D1CA1">
        <w:t>,</w:t>
      </w:r>
      <w:r w:rsidR="00F25828" w:rsidRPr="001D1CA1">
        <w:t xml:space="preserve"> some of the literature suggests that</w:t>
      </w:r>
      <w:r w:rsidR="00655210" w:rsidRPr="001D1CA1">
        <w:t xml:space="preserve"> </w:t>
      </w:r>
      <w:r w:rsidR="00F654AA" w:rsidRPr="001D1CA1">
        <w:t xml:space="preserve">the </w:t>
      </w:r>
      <w:r w:rsidR="004F232A" w:rsidRPr="001D1CA1">
        <w:t>REDD+ readiness phase may ultimately yield positive outcomes for the rights of Indigenous and forest-dependent communities.</w:t>
      </w:r>
    </w:p>
    <w:p w14:paraId="33557E8C" w14:textId="77777777" w:rsidR="007E56A0" w:rsidRPr="001D1CA1" w:rsidRDefault="007E56A0" w:rsidP="009F4955"/>
    <w:p w14:paraId="23065FFD" w14:textId="317FEF3D" w:rsidR="00210D84" w:rsidRPr="001D1CA1" w:rsidRDefault="0013711C" w:rsidP="009F4955">
      <w:r w:rsidRPr="001D1CA1">
        <w:t xml:space="preserve">Most </w:t>
      </w:r>
      <w:r w:rsidR="00F25828" w:rsidRPr="001D1CA1">
        <w:t>scholars</w:t>
      </w:r>
      <w:r w:rsidR="00253F8E" w:rsidRPr="001D1CA1">
        <w:t xml:space="preserve"> however</w:t>
      </w:r>
      <w:r w:rsidR="00AD4E62" w:rsidRPr="001D1CA1">
        <w:t xml:space="preserve"> express concern</w:t>
      </w:r>
      <w:r w:rsidR="00F25828" w:rsidRPr="001D1CA1">
        <w:t>s that the domestic operationalization</w:t>
      </w:r>
      <w:r w:rsidR="00445AFE" w:rsidRPr="001D1CA1">
        <w:t xml:space="preserve"> of REDD+ may </w:t>
      </w:r>
      <w:r w:rsidR="00253F8E" w:rsidRPr="001D1CA1">
        <w:t>actually</w:t>
      </w:r>
      <w:r w:rsidR="00445AFE" w:rsidRPr="001D1CA1">
        <w:t xml:space="preserve"> undermine the rights of Indigenous and forest-dependent communities.</w:t>
      </w:r>
      <w:r w:rsidR="00AC4C47" w:rsidRPr="001D1CA1">
        <w:t xml:space="preserve"> </w:t>
      </w:r>
      <w:r w:rsidR="009931DC" w:rsidRPr="001D1CA1">
        <w:t xml:space="preserve">First, </w:t>
      </w:r>
      <w:r w:rsidR="00D245D2" w:rsidRPr="001D1CA1">
        <w:t>forest conservation objectives may</w:t>
      </w:r>
      <w:r w:rsidR="006E6BF3" w:rsidRPr="001D1CA1">
        <w:t xml:space="preserve"> </w:t>
      </w:r>
      <w:r w:rsidR="00D245D2" w:rsidRPr="001D1CA1">
        <w:t xml:space="preserve">clash with the </w:t>
      </w:r>
      <w:r w:rsidR="00D245D2" w:rsidRPr="001D1CA1">
        <w:rPr>
          <w:lang w:val="en-US"/>
        </w:rPr>
        <w:t>“</w:t>
      </w:r>
      <w:r w:rsidR="00AC4C47" w:rsidRPr="001D1CA1">
        <w:rPr>
          <w:lang w:val="en-US"/>
        </w:rPr>
        <w:t>development and subsistence priorities of these communities</w:t>
      </w:r>
      <w:r w:rsidR="00D245D2" w:rsidRPr="001D1CA1">
        <w:rPr>
          <w:lang w:val="en-US"/>
        </w:rPr>
        <w:t xml:space="preserve">” </w:t>
      </w:r>
      <w:r w:rsidR="00E83FF4" w:rsidRPr="001D1CA1">
        <w:rPr>
          <w:lang w:val="en-US"/>
        </w:rPr>
        <w:t xml:space="preserve">and </w:t>
      </w:r>
      <w:r w:rsidR="00AC4C47" w:rsidRPr="001D1CA1">
        <w:rPr>
          <w:lang w:val="en-US"/>
        </w:rPr>
        <w:t>“restrictions over access to forests and their resources associated with REDD are likely to raise human rights questions similar to those that have already arisen with regard to forestry activities.”</w:t>
      </w:r>
      <w:r w:rsidR="00AC4C47" w:rsidRPr="001D1CA1">
        <w:rPr>
          <w:rStyle w:val="FootnoteReference"/>
          <w:lang w:val="en-US"/>
        </w:rPr>
        <w:footnoteReference w:id="89"/>
      </w:r>
      <w:r w:rsidR="00AC4C47" w:rsidRPr="001D1CA1">
        <w:rPr>
          <w:lang w:val="en-US"/>
        </w:rPr>
        <w:t xml:space="preserve"> </w:t>
      </w:r>
      <w:r w:rsidR="009931DC" w:rsidRPr="001D1CA1">
        <w:rPr>
          <w:lang w:val="en-US"/>
        </w:rPr>
        <w:t>Second,</w:t>
      </w:r>
      <w:r w:rsidR="000A5B53" w:rsidRPr="001D1CA1">
        <w:rPr>
          <w:lang w:val="en-US"/>
        </w:rPr>
        <w:t xml:space="preserve"> </w:t>
      </w:r>
      <w:r w:rsidR="000A5B53" w:rsidRPr="001D1CA1">
        <w:t>funding provided through</w:t>
      </w:r>
      <w:r w:rsidR="00E83FF4" w:rsidRPr="001D1CA1">
        <w:t xml:space="preserve"> a potential REDD+ mechanism</w:t>
      </w:r>
      <w:r w:rsidR="000A5B53" w:rsidRPr="001D1CA1">
        <w:t xml:space="preserve"> </w:t>
      </w:r>
      <w:r w:rsidR="000A5B53" w:rsidRPr="001D1CA1">
        <w:rPr>
          <w:bCs/>
        </w:rPr>
        <w:t>may well lead governments and corporations to “passively ignore or actively deny the land and resource rights of indigenous, traditional and/or poor forest users in order to position themselves to claim compensation for forest stewardship in their stead.”</w:t>
      </w:r>
      <w:r w:rsidR="000A5B53" w:rsidRPr="001D1CA1">
        <w:rPr>
          <w:vertAlign w:val="superscript"/>
        </w:rPr>
        <w:footnoteReference w:id="90"/>
      </w:r>
      <w:r w:rsidR="000A5B53" w:rsidRPr="001D1CA1">
        <w:t xml:space="preserve"> </w:t>
      </w:r>
      <w:r w:rsidR="000A5B53" w:rsidRPr="001D1CA1">
        <w:rPr>
          <w:lang w:val="en-US"/>
        </w:rPr>
        <w:t xml:space="preserve">Third, </w:t>
      </w:r>
      <w:r w:rsidR="00AC4C47" w:rsidRPr="001D1CA1">
        <w:t xml:space="preserve">large-scale reforms supported though the REDD+ readiness phase may fail to recognize or may abrogate </w:t>
      </w:r>
      <w:r w:rsidR="00AC4C47" w:rsidRPr="001D1CA1">
        <w:rPr>
          <w:bCs/>
        </w:rPr>
        <w:t>customary or statutory tenure, use, and property righ</w:t>
      </w:r>
      <w:r w:rsidR="00E83FF4" w:rsidRPr="001D1CA1">
        <w:rPr>
          <w:bCs/>
        </w:rPr>
        <w:t xml:space="preserve">ts of local communities and may </w:t>
      </w:r>
      <w:r w:rsidR="00AC4C47" w:rsidRPr="001D1CA1">
        <w:rPr>
          <w:bCs/>
        </w:rPr>
        <w:t>ultimately prevent them from accessing the benefits of REDD+ funding.</w:t>
      </w:r>
      <w:r w:rsidR="00AC4C47" w:rsidRPr="001D1CA1">
        <w:rPr>
          <w:rStyle w:val="FootnoteReference"/>
        </w:rPr>
        <w:footnoteReference w:id="91"/>
      </w:r>
      <w:r w:rsidR="00AC4C47" w:rsidRPr="001D1CA1">
        <w:t xml:space="preserve"> </w:t>
      </w:r>
      <w:r w:rsidR="000A5B53" w:rsidRPr="001D1CA1">
        <w:t xml:space="preserve">Fourth, </w:t>
      </w:r>
      <w:r w:rsidR="00210D84" w:rsidRPr="001D1CA1">
        <w:t>many scholars express little confidence in the effectiveness of voluntary and non-governmental REDD+ safeguard initiatives, emphasizing the importance of developing formal institutions and processes, whether within the UNFCCC or established U.N. human rights organizations and bodies</w:t>
      </w:r>
      <w:r w:rsidR="006E6BF3" w:rsidRPr="001D1CA1">
        <w:t>,</w:t>
      </w:r>
      <w:r w:rsidR="00210D84" w:rsidRPr="001D1CA1">
        <w:rPr>
          <w:rStyle w:val="FootnoteReference"/>
        </w:rPr>
        <w:footnoteReference w:id="92"/>
      </w:r>
      <w:r w:rsidR="006E6BF3" w:rsidRPr="001D1CA1">
        <w:t xml:space="preserve"> as well as the need to</w:t>
      </w:r>
      <w:r w:rsidR="00210D84" w:rsidRPr="001D1CA1">
        <w:t xml:space="preserve"> </w:t>
      </w:r>
      <w:r w:rsidR="006E6BF3" w:rsidRPr="001D1CA1">
        <w:t>strengthen institutional capacity and improve governance systems in developing countries.</w:t>
      </w:r>
      <w:r w:rsidR="006E6BF3" w:rsidRPr="001D1CA1">
        <w:rPr>
          <w:rStyle w:val="FootnoteReference"/>
        </w:rPr>
        <w:footnoteReference w:id="93"/>
      </w:r>
    </w:p>
    <w:p w14:paraId="71E49A52" w14:textId="77777777" w:rsidR="007E56A0" w:rsidRPr="001D1CA1" w:rsidRDefault="007E56A0" w:rsidP="009F4955"/>
    <w:p w14:paraId="482581BF" w14:textId="125D1441" w:rsidR="00AB4ABF" w:rsidRPr="001D1CA1" w:rsidRDefault="00B27FF6" w:rsidP="009F4955">
      <w:r w:rsidRPr="001D1CA1">
        <w:t>By and large, most</w:t>
      </w:r>
      <w:r w:rsidR="0059672F" w:rsidRPr="001D1CA1">
        <w:t xml:space="preserve"> </w:t>
      </w:r>
      <w:r w:rsidRPr="001D1CA1">
        <w:t>scholars</w:t>
      </w:r>
      <w:r w:rsidR="0059672F" w:rsidRPr="001D1CA1">
        <w:t xml:space="preserve"> tend</w:t>
      </w:r>
      <w:r w:rsidR="000C3DED" w:rsidRPr="001D1CA1">
        <w:t xml:space="preserve"> to expect</w:t>
      </w:r>
      <w:r w:rsidRPr="001D1CA1">
        <w:t xml:space="preserve"> that the REDD+ readiness phase will have</w:t>
      </w:r>
      <w:r w:rsidR="000C3DED" w:rsidRPr="001D1CA1">
        <w:t xml:space="preserve"> negative implications</w:t>
      </w:r>
      <w:r w:rsidRPr="001D1CA1">
        <w:t xml:space="preserve"> on the rights of Indigenous and forest-dependent communities</w:t>
      </w:r>
      <w:r w:rsidR="000C3DED" w:rsidRPr="001D1CA1">
        <w:t xml:space="preserve"> due to</w:t>
      </w:r>
      <w:r w:rsidR="0059672F" w:rsidRPr="001D1CA1">
        <w:t xml:space="preserve"> </w:t>
      </w:r>
      <w:r w:rsidR="006E6BF3" w:rsidRPr="001D1CA1">
        <w:t>the enduring</w:t>
      </w:r>
      <w:r w:rsidR="000C3DED" w:rsidRPr="001D1CA1">
        <w:t xml:space="preserve"> significance of the</w:t>
      </w:r>
      <w:r w:rsidR="006E6BF3" w:rsidRPr="001D1CA1">
        <w:t xml:space="preserve"> political and historical dynamics underlying the forestry sector in developing countries. </w:t>
      </w:r>
      <w:r w:rsidR="00E41F0D" w:rsidRPr="001D1CA1">
        <w:t>Numerous authors argue</w:t>
      </w:r>
      <w:r w:rsidR="00EC09A4" w:rsidRPr="001D1CA1">
        <w:t xml:space="preserve"> that</w:t>
      </w:r>
      <w:r w:rsidR="00445AFE" w:rsidRPr="001D1CA1">
        <w:t xml:space="preserve"> the combination of financial incentives introduced through REDD+ and ineffective governance systems in developing countries creates opportunities for corruption, graft, and elite capture</w:t>
      </w:r>
      <w:r w:rsidR="00E41F0D" w:rsidRPr="001D1CA1">
        <w:rPr>
          <w:rStyle w:val="FootnoteReference"/>
        </w:rPr>
        <w:footnoteReference w:id="94"/>
      </w:r>
      <w:r w:rsidR="00E41F0D" w:rsidRPr="001D1CA1">
        <w:t xml:space="preserve"> and the continuation of neo-patrimonial and authoritarian patterns of control more generally.</w:t>
      </w:r>
      <w:r w:rsidR="00E41F0D" w:rsidRPr="001D1CA1">
        <w:rPr>
          <w:rStyle w:val="FootnoteReference"/>
        </w:rPr>
        <w:footnoteReference w:id="95"/>
      </w:r>
      <w:r w:rsidR="000C3DED" w:rsidRPr="001D1CA1">
        <w:t xml:space="preserve"> Gomera et </w:t>
      </w:r>
      <w:r w:rsidR="000C3DED" w:rsidRPr="001D1CA1">
        <w:rPr>
          <w:i/>
        </w:rPr>
        <w:t>al.</w:t>
      </w:r>
      <w:r w:rsidR="000C3DED" w:rsidRPr="001D1CA1">
        <w:t xml:space="preserve"> </w:t>
      </w:r>
      <w:r w:rsidR="00045C08" w:rsidRPr="001D1CA1">
        <w:t>accordingly insist</w:t>
      </w:r>
      <w:r w:rsidRPr="001D1CA1">
        <w:t xml:space="preserve"> that</w:t>
      </w:r>
      <w:r w:rsidR="00045C08" w:rsidRPr="001D1CA1">
        <w:t xml:space="preserve"> measures like REDD+ “will be fundamentally shaped, in their implementation and outcomes, by the institutional and political-economic context of different national and local settings.”</w:t>
      </w:r>
      <w:bookmarkStart w:id="22" w:name="_Ref219193644"/>
      <w:r w:rsidR="000C3DED" w:rsidRPr="001D1CA1">
        <w:rPr>
          <w:rStyle w:val="FootnoteReference"/>
        </w:rPr>
        <w:footnoteReference w:id="96"/>
      </w:r>
      <w:bookmarkEnd w:id="22"/>
      <w:r w:rsidR="00045C08" w:rsidRPr="001D1CA1">
        <w:t xml:space="preserve"> </w:t>
      </w:r>
      <w:r w:rsidR="00445AFE" w:rsidRPr="001D1CA1">
        <w:t>Ribot and Larson</w:t>
      </w:r>
      <w:r w:rsidR="009B13C2" w:rsidRPr="001D1CA1">
        <w:t xml:space="preserve"> </w:t>
      </w:r>
      <w:r w:rsidR="00045C08" w:rsidRPr="001D1CA1">
        <w:t xml:space="preserve">likewise </w:t>
      </w:r>
      <w:r w:rsidR="00445AFE" w:rsidRPr="001D1CA1">
        <w:t>argue that legal reforms</w:t>
      </w:r>
      <w:r w:rsidR="00EC09A4" w:rsidRPr="001D1CA1">
        <w:t xml:space="preserve"> and initiatives enacted through the REDD+ readiness phase</w:t>
      </w:r>
      <w:r w:rsidR="00445AFE" w:rsidRPr="001D1CA1">
        <w:t xml:space="preserve"> are</w:t>
      </w:r>
      <w:r w:rsidR="00EC09A4" w:rsidRPr="001D1CA1">
        <w:t xml:space="preserve"> likely to be</w:t>
      </w:r>
      <w:r w:rsidR="00445AFE" w:rsidRPr="001D1CA1">
        <w:t xml:space="preserve"> insufficient to address the underlying power asymmetries in forestry since “their creation, application, effectiveness, and ultimate meanings are shaped by entrenched rural inequalities embedded in disabling social, political-economic, and legal hierarchies.”</w:t>
      </w:r>
      <w:r w:rsidR="00445AFE" w:rsidRPr="001D1CA1">
        <w:rPr>
          <w:vertAlign w:val="superscript"/>
        </w:rPr>
        <w:t xml:space="preserve"> </w:t>
      </w:r>
      <w:bookmarkStart w:id="23" w:name="_Ref217630896"/>
      <w:r w:rsidR="00445AFE" w:rsidRPr="001D1CA1">
        <w:rPr>
          <w:vertAlign w:val="superscript"/>
        </w:rPr>
        <w:footnoteReference w:id="97"/>
      </w:r>
      <w:bookmarkEnd w:id="23"/>
      <w:r w:rsidR="00445AFE" w:rsidRPr="001D1CA1">
        <w:t xml:space="preserve"> </w:t>
      </w:r>
      <w:r w:rsidR="0060164B" w:rsidRPr="001D1CA1">
        <w:t>In their opinion, without “the establishment of universal representation – via empowered and locally accountable authorities,” the REDD+ readiness phase is unlikely to yield fair and just outcomes for Indigenous and forest-dependent communities.</w:t>
      </w:r>
      <w:r w:rsidR="0060164B" w:rsidRPr="001D1CA1">
        <w:rPr>
          <w:vertAlign w:val="superscript"/>
        </w:rPr>
        <w:footnoteReference w:id="98"/>
      </w:r>
      <w:r w:rsidR="00AB4ABF" w:rsidRPr="001D1CA1">
        <w:t xml:space="preserve"> As such, a recurring notion in this literature is that REDD+ policy processes and outcomes will largely be driven by entrenched power asymmetries and governance challenges in developing countries</w:t>
      </w:r>
      <w:r w:rsidR="004358BC" w:rsidRPr="001D1CA1">
        <w:t xml:space="preserve"> and</w:t>
      </w:r>
      <w:r w:rsidR="00AB4ABF" w:rsidRPr="001D1CA1">
        <w:t xml:space="preserve"> that transnational policy actors are incapable of changing these asymmetries and may, worse still, exacerbate them. These conclusions reflect a broader perspective held by many political economists and ecologists that assumes that natural resource governance in developing countries is shaped by deep-seated power structures and dynamics which external actors and processes can do little to change in any positive way. For the most part, exogenous influences are largely epiphenomenal to these accounts of th</w:t>
      </w:r>
      <w:r w:rsidR="004358BC" w:rsidRPr="001D1CA1">
        <w:t>e policy process, merely providing</w:t>
      </w:r>
      <w:r w:rsidR="00AB4ABF" w:rsidRPr="001D1CA1">
        <w:t xml:space="preserve"> further opportunities for local communities to be dispossessed of their rights and resources by powerful economic and political interests.</w:t>
      </w:r>
      <w:r w:rsidR="00AB4ABF" w:rsidRPr="001D1CA1">
        <w:rPr>
          <w:rStyle w:val="FootnoteReference"/>
        </w:rPr>
        <w:footnoteReference w:id="99"/>
      </w:r>
    </w:p>
    <w:p w14:paraId="6A013758" w14:textId="77777777" w:rsidR="007E56A0" w:rsidRPr="001D1CA1" w:rsidRDefault="007E56A0" w:rsidP="009F4955"/>
    <w:p w14:paraId="35B36C47" w14:textId="11AC363B" w:rsidR="00D93B9C" w:rsidRPr="001D1CA1" w:rsidRDefault="00E83FF4" w:rsidP="009F4955">
      <w:r w:rsidRPr="001D1CA1">
        <w:t xml:space="preserve">The current literature provides a helpful overview of the array of potential opportunities and risks that the REDD+ readiness phase poses for the rights of Indigenous and forest-dependent communities as well as identifies possible policy fixes and prescriptions. </w:t>
      </w:r>
      <w:r w:rsidR="00AF5203" w:rsidRPr="001D1CA1">
        <w:rPr>
          <w:bCs/>
        </w:rPr>
        <w:t xml:space="preserve">A </w:t>
      </w:r>
      <w:r w:rsidR="00AF5203" w:rsidRPr="001D1CA1">
        <w:t>number of critical questions</w:t>
      </w:r>
      <w:r w:rsidR="00B27FF6" w:rsidRPr="001D1CA1">
        <w:t xml:space="preserve"> </w:t>
      </w:r>
      <w:r w:rsidR="00AF5203" w:rsidRPr="001D1CA1">
        <w:t>remain</w:t>
      </w:r>
      <w:r w:rsidR="00B27FF6" w:rsidRPr="001D1CA1">
        <w:t xml:space="preserve"> however</w:t>
      </w:r>
      <w:r w:rsidR="008E0092" w:rsidRPr="001D1CA1">
        <w:t xml:space="preserve"> about</w:t>
      </w:r>
      <w:r w:rsidR="00B27FF6" w:rsidRPr="001D1CA1">
        <w:t xml:space="preserve"> </w:t>
      </w:r>
      <w:r w:rsidR="008E0092" w:rsidRPr="001D1CA1">
        <w:t xml:space="preserve">the </w:t>
      </w:r>
      <w:r w:rsidR="00D93B9C" w:rsidRPr="001D1CA1">
        <w:t>causal processes underlying</w:t>
      </w:r>
      <w:r w:rsidR="000541BE" w:rsidRPr="001D1CA1">
        <w:t xml:space="preserve"> </w:t>
      </w:r>
      <w:r w:rsidR="00D93B9C" w:rsidRPr="001D1CA1">
        <w:t xml:space="preserve">the </w:t>
      </w:r>
      <w:r w:rsidR="008E0092" w:rsidRPr="001D1CA1">
        <w:t xml:space="preserve">REDD+ readiness </w:t>
      </w:r>
      <w:r w:rsidR="00D93B9C" w:rsidRPr="001D1CA1">
        <w:t>phase</w:t>
      </w:r>
      <w:bookmarkStart w:id="24" w:name="_Ref223629471"/>
      <w:r w:rsidR="005E1770" w:rsidRPr="001D1CA1">
        <w:rPr>
          <w:rStyle w:val="FootnoteReference"/>
          <w:bCs/>
        </w:rPr>
        <w:footnoteReference w:id="100"/>
      </w:r>
      <w:bookmarkEnd w:id="24"/>
      <w:r w:rsidR="00D93B9C" w:rsidRPr="001D1CA1">
        <w:t xml:space="preserve"> as well as their actual implications for </w:t>
      </w:r>
      <w:r w:rsidR="00B27FF6" w:rsidRPr="001D1CA1">
        <w:t>the rights of I</w:t>
      </w:r>
      <w:r w:rsidR="00A1175E" w:rsidRPr="001D1CA1">
        <w:t>ndigenous and forest-dependent communities</w:t>
      </w:r>
      <w:r w:rsidR="00D93B9C" w:rsidRPr="001D1CA1">
        <w:t xml:space="preserve">. </w:t>
      </w:r>
      <w:r w:rsidR="009F1EBA" w:rsidRPr="001D1CA1">
        <w:t>Of course,</w:t>
      </w:r>
      <w:r w:rsidR="00897BE5" w:rsidRPr="001D1CA1">
        <w:t xml:space="preserve"> as the REDD+ readiness phase is </w:t>
      </w:r>
      <w:r w:rsidR="00D34F2E" w:rsidRPr="001D1CA1">
        <w:t>a recent and on-going process</w:t>
      </w:r>
      <w:r w:rsidR="00897BE5" w:rsidRPr="001D1CA1">
        <w:t xml:space="preserve"> and its</w:t>
      </w:r>
      <w:r w:rsidR="00AE64BA" w:rsidRPr="001D1CA1">
        <w:t xml:space="preserve"> </w:t>
      </w:r>
      <w:r w:rsidR="002B52B6" w:rsidRPr="001D1CA1">
        <w:t>ultimate</w:t>
      </w:r>
      <w:r w:rsidR="00897BE5" w:rsidRPr="001D1CA1">
        <w:t xml:space="preserve"> results</w:t>
      </w:r>
      <w:r w:rsidR="004238D7" w:rsidRPr="001D1CA1">
        <w:t xml:space="preserve"> will not be known for many</w:t>
      </w:r>
      <w:r w:rsidR="00897BE5" w:rsidRPr="001D1CA1">
        <w:t xml:space="preserve"> years in most </w:t>
      </w:r>
      <w:r w:rsidR="004238D7" w:rsidRPr="001D1CA1">
        <w:t>developing</w:t>
      </w:r>
      <w:r w:rsidR="00897BE5" w:rsidRPr="001D1CA1">
        <w:t xml:space="preserve"> countries, the</w:t>
      </w:r>
      <w:r w:rsidR="0056776E" w:rsidRPr="001D1CA1">
        <w:t xml:space="preserve"> availability of empirical data</w:t>
      </w:r>
      <w:r w:rsidR="002B52B6" w:rsidRPr="001D1CA1">
        <w:t xml:space="preserve"> </w:t>
      </w:r>
      <w:r w:rsidR="008E0092" w:rsidRPr="001D1CA1">
        <w:t>has been</w:t>
      </w:r>
      <w:r w:rsidR="0056776E" w:rsidRPr="001D1CA1">
        <w:t xml:space="preserve"> limited and</w:t>
      </w:r>
      <w:r w:rsidR="00897BE5" w:rsidRPr="001D1CA1">
        <w:t xml:space="preserve"> academic research in this area is still in its infancy. </w:t>
      </w:r>
      <w:r w:rsidR="00A56C36" w:rsidRPr="001D1CA1">
        <w:t>Yet</w:t>
      </w:r>
      <w:r w:rsidR="00897BE5" w:rsidRPr="001D1CA1">
        <w:t>, as efforts to</w:t>
      </w:r>
      <w:r w:rsidR="00AE64BA" w:rsidRPr="001D1CA1">
        <w:t xml:space="preserve"> </w:t>
      </w:r>
      <w:r w:rsidR="00A1175E" w:rsidRPr="001D1CA1">
        <w:t>develop new</w:t>
      </w:r>
      <w:r w:rsidR="00897BE5" w:rsidRPr="001D1CA1">
        <w:t xml:space="preserve"> REDD+</w:t>
      </w:r>
      <w:r w:rsidR="00A1175E" w:rsidRPr="001D1CA1">
        <w:t>-related</w:t>
      </w:r>
      <w:r w:rsidR="004238D7" w:rsidRPr="001D1CA1">
        <w:t xml:space="preserve"> laws,</w:t>
      </w:r>
      <w:r w:rsidR="00897BE5" w:rsidRPr="001D1CA1">
        <w:t xml:space="preserve"> policies</w:t>
      </w:r>
      <w:r w:rsidR="004238D7" w:rsidRPr="001D1CA1">
        <w:t>, and institutions</w:t>
      </w:r>
      <w:r w:rsidR="00897BE5" w:rsidRPr="001D1CA1">
        <w:t xml:space="preserve"> in a number of developing country forerunners </w:t>
      </w:r>
      <w:r w:rsidR="00621D70" w:rsidRPr="001D1CA1">
        <w:t>start to bear fruit</w:t>
      </w:r>
      <w:r w:rsidR="00897BE5" w:rsidRPr="001D1CA1">
        <w:t xml:space="preserve">, it is now possible </w:t>
      </w:r>
      <w:r w:rsidR="008A3826" w:rsidRPr="001D1CA1">
        <w:t xml:space="preserve">to </w:t>
      </w:r>
      <w:r w:rsidR="00897BE5" w:rsidRPr="001D1CA1">
        <w:t>study the</w:t>
      </w:r>
      <w:r w:rsidR="00904747" w:rsidRPr="001D1CA1">
        <w:t xml:space="preserve"> nature </w:t>
      </w:r>
      <w:r w:rsidR="008A3826" w:rsidRPr="001D1CA1">
        <w:t>and significance of the REDD+ readiness phase.</w:t>
      </w:r>
    </w:p>
    <w:p w14:paraId="20EBEF26" w14:textId="77777777" w:rsidR="00D93B9C" w:rsidRPr="001D1CA1" w:rsidRDefault="00D93B9C" w:rsidP="009F4955"/>
    <w:p w14:paraId="148EA8FC" w14:textId="6AE1AB28" w:rsidR="00C348D8" w:rsidRPr="001D1CA1" w:rsidRDefault="001663C0" w:rsidP="009F4955">
      <w:pPr>
        <w:pStyle w:val="Heading2"/>
        <w:rPr>
          <w:smallCaps w:val="0"/>
        </w:rPr>
      </w:pPr>
      <w:r w:rsidRPr="001D1CA1">
        <w:rPr>
          <w:smallCaps w:val="0"/>
        </w:rPr>
        <w:t xml:space="preserve">3. </w:t>
      </w:r>
      <w:r w:rsidR="002118BC" w:rsidRPr="001D1CA1">
        <w:rPr>
          <w:smallCaps w:val="0"/>
        </w:rPr>
        <w:t>Understanding the Role</w:t>
      </w:r>
      <w:r w:rsidR="00485624" w:rsidRPr="001D1CA1">
        <w:rPr>
          <w:smallCaps w:val="0"/>
        </w:rPr>
        <w:t xml:space="preserve"> and Influence</w:t>
      </w:r>
      <w:r w:rsidR="002118BC" w:rsidRPr="001D1CA1">
        <w:rPr>
          <w:smallCaps w:val="0"/>
        </w:rPr>
        <w:t xml:space="preserve"> of Transnational Policy Actors in the REDD+ Readiness Phase</w:t>
      </w:r>
    </w:p>
    <w:p w14:paraId="4BB5190A" w14:textId="77777777" w:rsidR="007E56A0" w:rsidRPr="001D1CA1" w:rsidRDefault="007E56A0" w:rsidP="009F4955"/>
    <w:p w14:paraId="341C6FE9" w14:textId="0015513A" w:rsidR="002E53A9" w:rsidRPr="001D1CA1" w:rsidRDefault="002E53A9" w:rsidP="002E53A9">
      <w:pPr>
        <w:rPr>
          <w:bCs/>
        </w:rPr>
      </w:pPr>
      <w:r>
        <w:t>While</w:t>
      </w:r>
      <w:r w:rsidRPr="001D1CA1">
        <w:t xml:space="preserve"> the existing literature on rights and REDD+ assumes that the REDD+ readiness phase is likely to yield uniformly negative or ineffectual outcomes, I assume instead that the implications of REDD+ policy development require careful, multi-faceted, and context-sensitive </w:t>
      </w:r>
      <w:r>
        <w:t>analysis.</w:t>
      </w:r>
      <w:r w:rsidRPr="001D1CA1">
        <w:t xml:space="preserve"> As such, I remain open to the possibility that some aspects of the REDD+ readiness phase may have positive implications for the rights of Indigenous and forest-dependent communities, while other aspects may yield negative consequences. </w:t>
      </w:r>
      <w:r>
        <w:t xml:space="preserve">Moreover, </w:t>
      </w:r>
      <w:r>
        <w:rPr>
          <w:bCs/>
        </w:rPr>
        <w:t>a</w:t>
      </w:r>
      <w:r w:rsidRPr="002E53A9">
        <w:rPr>
          <w:bCs/>
        </w:rPr>
        <w:t>s suggested by Orenstein, I do not presume that the preferences and influence of different transnational policy actors are fixed and unchanging and assume instead that “[c]areful analysis must avoid stylized assumptions that impute stability of preferences, information, resources, personnel, and behavior to transnational actors.”</w:t>
      </w:r>
      <w:r w:rsidRPr="002E53A9">
        <w:rPr>
          <w:bCs/>
          <w:vertAlign w:val="superscript"/>
        </w:rPr>
        <w:footnoteReference w:id="101"/>
      </w:r>
      <w:r w:rsidRPr="002E53A9">
        <w:rPr>
          <w:bCs/>
        </w:rPr>
        <w:t xml:space="preserve"> </w:t>
      </w:r>
      <w:r w:rsidR="00B16D6F">
        <w:rPr>
          <w:bCs/>
        </w:rPr>
        <w:t>I am therefore interested in studying the</w:t>
      </w:r>
      <w:r w:rsidRPr="002E53A9">
        <w:rPr>
          <w:bCs/>
        </w:rPr>
        <w:t xml:space="preserve"> role and influence of</w:t>
      </w:r>
      <w:r w:rsidR="00B16D6F">
        <w:rPr>
          <w:bCs/>
        </w:rPr>
        <w:t xml:space="preserve"> particular</w:t>
      </w:r>
      <w:r w:rsidRPr="002E53A9">
        <w:rPr>
          <w:bCs/>
        </w:rPr>
        <w:t xml:space="preserve"> transnational policy actors in</w:t>
      </w:r>
      <w:r w:rsidR="00B16D6F">
        <w:rPr>
          <w:bCs/>
        </w:rPr>
        <w:t xml:space="preserve"> the context of</w:t>
      </w:r>
      <w:r w:rsidRPr="002E53A9">
        <w:rPr>
          <w:bCs/>
        </w:rPr>
        <w:t xml:space="preserve"> REDD+ readiness policy development in particular developing countries</w:t>
      </w:r>
      <w:r w:rsidR="00B16D6F">
        <w:rPr>
          <w:bCs/>
        </w:rPr>
        <w:t>.</w:t>
      </w:r>
    </w:p>
    <w:p w14:paraId="41FE0B6C" w14:textId="77777777" w:rsidR="002E53A9" w:rsidRDefault="002E53A9" w:rsidP="009F4955"/>
    <w:p w14:paraId="65E7FB56" w14:textId="170D6484" w:rsidR="00122E8F" w:rsidRPr="001D1CA1" w:rsidRDefault="00485624" w:rsidP="009F4955">
      <w:r w:rsidRPr="001D1CA1">
        <w:t xml:space="preserve">In order to understand </w:t>
      </w:r>
      <w:r w:rsidR="00B2779C" w:rsidRPr="001D1CA1">
        <w:t>whether</w:t>
      </w:r>
      <w:r w:rsidR="00901363" w:rsidRPr="001D1CA1">
        <w:t xml:space="preserve"> and how </w:t>
      </w:r>
      <w:r w:rsidR="00FE3BBA" w:rsidRPr="001D1CA1">
        <w:t xml:space="preserve">transnational policy actors engaged in the REDD+ readiness phase </w:t>
      </w:r>
      <w:r w:rsidR="00901363" w:rsidRPr="001D1CA1">
        <w:t xml:space="preserve">might </w:t>
      </w:r>
      <w:r w:rsidR="00FE3BBA" w:rsidRPr="001D1CA1">
        <w:t>influenc</w:t>
      </w:r>
      <w:r w:rsidR="00B2779C" w:rsidRPr="001D1CA1">
        <w:t>e REDD+ readiness policy development</w:t>
      </w:r>
      <w:r w:rsidR="00DA403F">
        <w:t xml:space="preserve"> in developing countries</w:t>
      </w:r>
      <w:r w:rsidR="00901363" w:rsidRPr="001D1CA1">
        <w:t xml:space="preserve">, </w:t>
      </w:r>
      <w:r w:rsidR="0069222F" w:rsidRPr="001D1CA1">
        <w:t>I draw on</w:t>
      </w:r>
      <w:r w:rsidR="00470EC1" w:rsidRPr="001D1CA1">
        <w:t xml:space="preserve"> a</w:t>
      </w:r>
      <w:r w:rsidR="00412FDF" w:rsidRPr="001D1CA1">
        <w:t xml:space="preserve"> converging set of works </w:t>
      </w:r>
      <w:r w:rsidR="006F7436" w:rsidRPr="001D1CA1">
        <w:rPr>
          <w:bCs/>
        </w:rPr>
        <w:t>in international relations, comparative politics, and public policy studies th</w:t>
      </w:r>
      <w:r w:rsidR="00AD3BA7" w:rsidRPr="001D1CA1">
        <w:rPr>
          <w:bCs/>
        </w:rPr>
        <w:t>at seeks to account for the impact</w:t>
      </w:r>
      <w:r w:rsidR="006F7436" w:rsidRPr="001D1CA1">
        <w:rPr>
          <w:bCs/>
        </w:rPr>
        <w:t xml:space="preserve"> of</w:t>
      </w:r>
      <w:r w:rsidR="006F7436" w:rsidRPr="001D1CA1">
        <w:t xml:space="preserve"> transnational policy actors and processes on domestic policy </w:t>
      </w:r>
      <w:r w:rsidR="00201049" w:rsidRPr="001D1CA1">
        <w:t>stability and</w:t>
      </w:r>
      <w:r w:rsidR="006F7436" w:rsidRPr="001D1CA1">
        <w:t xml:space="preserve"> change.</w:t>
      </w:r>
      <w:bookmarkStart w:id="25" w:name="_Ref219177069"/>
      <w:r w:rsidR="006F7436" w:rsidRPr="001D1CA1">
        <w:rPr>
          <w:rStyle w:val="FootnoteReference"/>
        </w:rPr>
        <w:footnoteReference w:id="102"/>
      </w:r>
      <w:bookmarkEnd w:id="25"/>
      <w:r w:rsidR="006F7436" w:rsidRPr="001D1CA1">
        <w:t xml:space="preserve"> </w:t>
      </w:r>
      <w:r w:rsidR="00EC04F1" w:rsidRPr="001D1CA1">
        <w:t xml:space="preserve">In addition to its multi-level perspective, I </w:t>
      </w:r>
      <w:r w:rsidRPr="001D1CA1">
        <w:t>share</w:t>
      </w:r>
      <w:r w:rsidR="00EE27CC" w:rsidRPr="001D1CA1">
        <w:t xml:space="preserve"> </w:t>
      </w:r>
      <w:r w:rsidR="00EC04F1" w:rsidRPr="001D1CA1">
        <w:t xml:space="preserve">this scholarship’s interest in combining constructivist and rationalist explanations to </w:t>
      </w:r>
      <w:r w:rsidR="000E6509" w:rsidRPr="001D1CA1">
        <w:t xml:space="preserve">assess </w:t>
      </w:r>
      <w:r w:rsidR="00EC04F1" w:rsidRPr="001D1CA1">
        <w:t>the different modes through w</w:t>
      </w:r>
      <w:r w:rsidR="00ED24C2" w:rsidRPr="001D1CA1">
        <w:t>hich transnational policy processes</w:t>
      </w:r>
      <w:r w:rsidR="00EC04F1" w:rsidRPr="001D1CA1">
        <w:t xml:space="preserve"> </w:t>
      </w:r>
      <w:r w:rsidR="00ED24C2" w:rsidRPr="001D1CA1">
        <w:t xml:space="preserve">affect </w:t>
      </w:r>
      <w:r w:rsidR="00EC04F1" w:rsidRPr="001D1CA1">
        <w:t>domestic policy-making</w:t>
      </w:r>
      <w:r w:rsidR="00BD486A" w:rsidRPr="001D1CA1">
        <w:t xml:space="preserve"> and the intersections that may develop between them</w:t>
      </w:r>
      <w:r w:rsidR="00EC04F1" w:rsidRPr="001D1CA1">
        <w:t xml:space="preserve">. </w:t>
      </w:r>
      <w:r w:rsidR="00122E8F" w:rsidRPr="001D1CA1">
        <w:t>In</w:t>
      </w:r>
      <w:r w:rsidR="00CD0B08" w:rsidRPr="001D1CA1">
        <w:t xml:space="preserve"> </w:t>
      </w:r>
      <w:r w:rsidR="001C53AE" w:rsidRPr="001D1CA1">
        <w:t xml:space="preserve">the analytical framework outlined below, I </w:t>
      </w:r>
      <w:r w:rsidR="00201049" w:rsidRPr="001D1CA1">
        <w:t>describe both ideational and material</w:t>
      </w:r>
      <w:r w:rsidR="001C53AE" w:rsidRPr="001D1CA1">
        <w:t xml:space="preserve"> modes </w:t>
      </w:r>
      <w:r w:rsidR="00B42BC7" w:rsidRPr="001D1CA1">
        <w:t xml:space="preserve">of influence </w:t>
      </w:r>
      <w:r w:rsidR="001C53AE" w:rsidRPr="001D1CA1">
        <w:t>through which tr</w:t>
      </w:r>
      <w:r w:rsidR="00B42BC7" w:rsidRPr="001D1CA1">
        <w:t>ansnational policy actors may affect</w:t>
      </w:r>
      <w:r w:rsidR="001C53AE" w:rsidRPr="001D1CA1">
        <w:t xml:space="preserve"> domestic policy</w:t>
      </w:r>
      <w:r w:rsidR="00B42BC7" w:rsidRPr="001D1CA1">
        <w:t>-making.</w:t>
      </w:r>
      <w:r w:rsidR="001C53AE" w:rsidRPr="001D1CA1">
        <w:t xml:space="preserve"> </w:t>
      </w:r>
      <w:r w:rsidRPr="001D1CA1">
        <w:t xml:space="preserve">I also provide examples that relate to </w:t>
      </w:r>
      <w:r w:rsidR="000F7FB7" w:rsidRPr="001D1CA1">
        <w:t xml:space="preserve">the role of transnational policy actors in the REDD+ readiness phase and their influence on </w:t>
      </w:r>
      <w:r w:rsidRPr="001D1CA1">
        <w:t>issues relating to the rights of Indigenous and local communities in</w:t>
      </w:r>
      <w:r w:rsidR="000F7FB7" w:rsidRPr="001D1CA1">
        <w:t xml:space="preserve"> participating developing countries.</w:t>
      </w:r>
      <w:r w:rsidR="00201049" w:rsidRPr="001D1CA1">
        <w:t xml:space="preserve"> </w:t>
      </w:r>
    </w:p>
    <w:p w14:paraId="6191A277" w14:textId="77777777" w:rsidR="008D5B36" w:rsidRPr="001D1CA1" w:rsidRDefault="008D5B36" w:rsidP="009F4955"/>
    <w:p w14:paraId="3D78B0E9" w14:textId="658B4329" w:rsidR="00211CC0" w:rsidRDefault="009E0B0C" w:rsidP="009F4955">
      <w:r w:rsidRPr="001D1CA1">
        <w:t>Many scholars argue that</w:t>
      </w:r>
      <w:r w:rsidR="00FE3BBA" w:rsidRPr="001D1CA1">
        <w:t xml:space="preserve"> foreign</w:t>
      </w:r>
      <w:r w:rsidRPr="001D1CA1">
        <w:t xml:space="preserve"> governments, international organisations, </w:t>
      </w:r>
      <w:r w:rsidR="00C3027F" w:rsidRPr="001D1CA1">
        <w:t xml:space="preserve">NGOs, and </w:t>
      </w:r>
      <w:r w:rsidR="00E61213" w:rsidRPr="001D1CA1">
        <w:rPr>
          <w:rFonts w:cs="Times New Roman"/>
        </w:rPr>
        <w:t xml:space="preserve">multinational </w:t>
      </w:r>
      <w:r w:rsidR="00C3027F" w:rsidRPr="001D1CA1">
        <w:t>corporations are playing an increasingly important role in the development and diffusion of public policies around the world.</w:t>
      </w:r>
      <w:bookmarkStart w:id="26" w:name="_Ref223606708"/>
      <w:r w:rsidR="00C3027F" w:rsidRPr="001D1CA1">
        <w:rPr>
          <w:rStyle w:val="FootnoteReference"/>
        </w:rPr>
        <w:footnoteReference w:id="103"/>
      </w:r>
      <w:bookmarkEnd w:id="26"/>
      <w:r w:rsidR="0049465E" w:rsidRPr="001D1CA1">
        <w:t xml:space="preserve"> Yet, because these transnational policy actors generally lack formal policy-making authority at the domestic level</w:t>
      </w:r>
      <w:r w:rsidR="00FE3BBA" w:rsidRPr="001D1CA1">
        <w:t>, they must</w:t>
      </w:r>
      <w:r w:rsidR="00A20ED7" w:rsidRPr="001D1CA1">
        <w:t xml:space="preserve"> seek to alter </w:t>
      </w:r>
      <w:r w:rsidR="00062E9D" w:rsidRPr="001D1CA1">
        <w:t>the beliefs, preferences or capabilities of domestic policy actors</w:t>
      </w:r>
      <w:r w:rsidR="00A20ED7" w:rsidRPr="001D1CA1">
        <w:t xml:space="preserve">, </w:t>
      </w:r>
      <w:r w:rsidR="00932E5D" w:rsidRPr="001D1CA1">
        <w:t xml:space="preserve">particularly policy-makers, bureaucrats, experts, and activists, </w:t>
      </w:r>
      <w:r w:rsidR="00A20ED7" w:rsidRPr="001D1CA1">
        <w:t>to influence domestic policy-making processes and outcomes.</w:t>
      </w:r>
      <w:bookmarkStart w:id="27" w:name="_Ref223423637"/>
      <w:r w:rsidR="00932E5D" w:rsidRPr="001D1CA1">
        <w:rPr>
          <w:rStyle w:val="FootnoteReference"/>
        </w:rPr>
        <w:footnoteReference w:id="104"/>
      </w:r>
      <w:bookmarkEnd w:id="27"/>
      <w:r w:rsidR="00A20ED7" w:rsidRPr="001D1CA1">
        <w:t xml:space="preserve"> </w:t>
      </w:r>
      <w:r w:rsidR="00D64075" w:rsidRPr="001D1CA1">
        <w:t>Through a synthesis of existing research on</w:t>
      </w:r>
      <w:r w:rsidR="00086A20" w:rsidRPr="001D1CA1">
        <w:t xml:space="preserve"> transnation</w:t>
      </w:r>
      <w:r w:rsidR="00140673" w:rsidRPr="001D1CA1">
        <w:t xml:space="preserve">al </w:t>
      </w:r>
      <w:r w:rsidR="00D64075" w:rsidRPr="001D1CA1">
        <w:t>policy and governance</w:t>
      </w:r>
      <w:r w:rsidR="00140673" w:rsidRPr="001D1CA1">
        <w:t xml:space="preserve"> </w:t>
      </w:r>
      <w:r w:rsidR="00D64075" w:rsidRPr="001D1CA1">
        <w:t>processes</w:t>
      </w:r>
      <w:r w:rsidR="00086A20" w:rsidRPr="001D1CA1">
        <w:t>,</w:t>
      </w:r>
      <w:bookmarkStart w:id="28" w:name="_Ref223455695"/>
      <w:r w:rsidR="00140673" w:rsidRPr="001D1CA1">
        <w:rPr>
          <w:rStyle w:val="FootnoteReference"/>
        </w:rPr>
        <w:t xml:space="preserve"> </w:t>
      </w:r>
      <w:bookmarkEnd w:id="28"/>
      <w:r w:rsidR="00086A20" w:rsidRPr="001D1CA1">
        <w:t xml:space="preserve">I argue that transnational policy actors </w:t>
      </w:r>
      <w:r w:rsidR="0002404A" w:rsidRPr="001D1CA1">
        <w:t xml:space="preserve">generally </w:t>
      </w:r>
      <w:r w:rsidR="00D64075" w:rsidRPr="001D1CA1">
        <w:t xml:space="preserve">operate </w:t>
      </w:r>
      <w:r w:rsidR="005627AA" w:rsidRPr="001D1CA1">
        <w:t>through five</w:t>
      </w:r>
      <w:r w:rsidR="0002404A" w:rsidRPr="001D1CA1">
        <w:t xml:space="preserve"> principal </w:t>
      </w:r>
      <w:r w:rsidR="0015780A" w:rsidRPr="001D1CA1">
        <w:t>modes</w:t>
      </w:r>
      <w:r w:rsidR="0002404A" w:rsidRPr="001D1CA1">
        <w:t xml:space="preserve"> of influence</w:t>
      </w:r>
      <w:r w:rsidR="00F81C42" w:rsidRPr="001D1CA1">
        <w:t>: knowledge</w:t>
      </w:r>
      <w:r w:rsidR="001944D5" w:rsidRPr="001D1CA1">
        <w:t xml:space="preserve"> </w:t>
      </w:r>
      <w:r w:rsidR="008D2794" w:rsidRPr="001D1CA1">
        <w:t>generation</w:t>
      </w:r>
      <w:r w:rsidR="005F26FD" w:rsidRPr="001D1CA1">
        <w:t xml:space="preserve"> and sharing</w:t>
      </w:r>
      <w:r w:rsidR="001944D5" w:rsidRPr="001D1CA1">
        <w:t>,</w:t>
      </w:r>
      <w:r w:rsidR="00F81C42" w:rsidRPr="001D1CA1">
        <w:t xml:space="preserve"> norm</w:t>
      </w:r>
      <w:r w:rsidR="005F26FD" w:rsidRPr="001D1CA1">
        <w:t xml:space="preserve"> development and</w:t>
      </w:r>
      <w:r w:rsidR="00F81C42" w:rsidRPr="001D1CA1">
        <w:t xml:space="preserve"> </w:t>
      </w:r>
      <w:r w:rsidR="005F26FD" w:rsidRPr="001D1CA1">
        <w:t>diffusion</w:t>
      </w:r>
      <w:r w:rsidR="00F81C42" w:rsidRPr="001D1CA1">
        <w:t>,</w:t>
      </w:r>
      <w:r w:rsidR="007A2231" w:rsidRPr="001D1CA1">
        <w:t xml:space="preserve"> </w:t>
      </w:r>
      <w:r w:rsidR="001E4A84" w:rsidRPr="001D1CA1">
        <w:t>international law</w:t>
      </w:r>
      <w:r w:rsidR="00F67EDA" w:rsidRPr="001D1CA1">
        <w:t>-making</w:t>
      </w:r>
      <w:r w:rsidR="005627AA" w:rsidRPr="001D1CA1">
        <w:t xml:space="preserve">, </w:t>
      </w:r>
      <w:r w:rsidR="007A2231" w:rsidRPr="001D1CA1">
        <w:t>market manipulation</w:t>
      </w:r>
      <w:r w:rsidR="001944D5" w:rsidRPr="001D1CA1">
        <w:t>, and material assistance</w:t>
      </w:r>
      <w:r w:rsidR="002C15A8" w:rsidRPr="001D1CA1">
        <w:t>.</w:t>
      </w:r>
      <w:bookmarkStart w:id="29" w:name="_Ref227654144"/>
      <w:r w:rsidR="00D64075" w:rsidRPr="001D1CA1">
        <w:rPr>
          <w:rStyle w:val="FootnoteReference"/>
        </w:rPr>
        <w:footnoteReference w:id="105"/>
      </w:r>
      <w:bookmarkEnd w:id="29"/>
      <w:r w:rsidR="002C15A8" w:rsidRPr="001D1CA1">
        <w:t xml:space="preserve"> </w:t>
      </w:r>
    </w:p>
    <w:p w14:paraId="4D9A48D1" w14:textId="35A3665A" w:rsidR="00655EE5" w:rsidRPr="001D1CA1" w:rsidRDefault="001637CE" w:rsidP="009F4955">
      <w:pPr>
        <w:pStyle w:val="Heading3"/>
        <w:spacing w:line="240" w:lineRule="auto"/>
      </w:pPr>
      <w:r w:rsidRPr="001D1CA1">
        <w:t>Knowledge</w:t>
      </w:r>
      <w:r w:rsidR="005F26FD" w:rsidRPr="001D1CA1">
        <w:t xml:space="preserve"> Generation &amp;</w:t>
      </w:r>
      <w:r w:rsidRPr="001D1CA1">
        <w:t xml:space="preserve"> </w:t>
      </w:r>
      <w:r w:rsidR="00365E28" w:rsidRPr="001D1CA1">
        <w:t>Sharing</w:t>
      </w:r>
    </w:p>
    <w:p w14:paraId="268C5DCF" w14:textId="5F7195B8" w:rsidR="00211CC0" w:rsidRPr="001D1CA1" w:rsidRDefault="008D5678" w:rsidP="009F4955">
      <w:r w:rsidRPr="001D1CA1">
        <w:rPr>
          <w:bCs/>
        </w:rPr>
        <w:t>T</w:t>
      </w:r>
      <w:r w:rsidR="001E7804" w:rsidRPr="001D1CA1">
        <w:t>ransnational policy actors can</w:t>
      </w:r>
      <w:r w:rsidR="005F26FD" w:rsidRPr="001D1CA1">
        <w:t xml:space="preserve"> influence </w:t>
      </w:r>
      <w:r w:rsidR="001E7804" w:rsidRPr="001D1CA1">
        <w:t>domestic policy</w:t>
      </w:r>
      <w:r w:rsidR="001A5821" w:rsidRPr="001D1CA1">
        <w:t xml:space="preserve"> development</w:t>
      </w:r>
      <w:r w:rsidR="001E7804" w:rsidRPr="001D1CA1">
        <w:t xml:space="preserve"> </w:t>
      </w:r>
      <w:r w:rsidR="005F26FD" w:rsidRPr="001D1CA1">
        <w:t>by</w:t>
      </w:r>
      <w:r w:rsidRPr="001D1CA1">
        <w:t xml:space="preserve"> </w:t>
      </w:r>
      <w:r w:rsidR="005F26FD" w:rsidRPr="001D1CA1">
        <w:t>generating</w:t>
      </w:r>
      <w:r w:rsidR="00681513" w:rsidRPr="001D1CA1">
        <w:t xml:space="preserve"> and </w:t>
      </w:r>
      <w:r w:rsidR="005F26FD" w:rsidRPr="001D1CA1">
        <w:t>sharing</w:t>
      </w:r>
      <w:r w:rsidR="001637CE" w:rsidRPr="001D1CA1">
        <w:t xml:space="preserve"> knowledge </w:t>
      </w:r>
      <w:r w:rsidR="003B0451" w:rsidRPr="001D1CA1">
        <w:t>about the</w:t>
      </w:r>
      <w:r w:rsidR="003263CD" w:rsidRPr="001D1CA1">
        <w:t xml:space="preserve"> strengths and weaknesses of particular policy interventions and instruments</w:t>
      </w:r>
      <w:r w:rsidR="00AB0427" w:rsidRPr="001D1CA1">
        <w:t>, m</w:t>
      </w:r>
      <w:r w:rsidR="006F670F" w:rsidRPr="001D1CA1">
        <w:t xml:space="preserve">ost notably by reporting on </w:t>
      </w:r>
      <w:r w:rsidR="000E2B24" w:rsidRPr="001D1CA1">
        <w:t>the expe</w:t>
      </w:r>
      <w:r w:rsidR="0023334D" w:rsidRPr="001D1CA1">
        <w:t xml:space="preserve">riences of other jurisdictions. </w:t>
      </w:r>
      <w:r w:rsidR="000E2B24" w:rsidRPr="001D1CA1">
        <w:t>Transnational policy actors may communicate this kno</w:t>
      </w:r>
      <w:r w:rsidR="00B35FE4" w:rsidRPr="001D1CA1">
        <w:t>wledge to domestic policy actors</w:t>
      </w:r>
      <w:r w:rsidR="000E2B24" w:rsidRPr="001D1CA1">
        <w:t xml:space="preserve"> through the production and dissemination of policy briefs and reports, the organization of conferences, meetings, and training sessions, and the delivery of technical assistance projects and consultancies.</w:t>
      </w:r>
      <w:bookmarkStart w:id="30" w:name="_Ref223594245"/>
      <w:r w:rsidR="00924E33" w:rsidRPr="001D1CA1">
        <w:rPr>
          <w:rStyle w:val="FootnoteReference"/>
        </w:rPr>
        <w:footnoteReference w:id="106"/>
      </w:r>
      <w:bookmarkEnd w:id="30"/>
      <w:r w:rsidR="00327F97" w:rsidRPr="001D1CA1">
        <w:t xml:space="preserve"> These activities may in turn lead to</w:t>
      </w:r>
      <w:r w:rsidR="00B80659" w:rsidRPr="001D1CA1">
        <w:t xml:space="preserve"> what May calls</w:t>
      </w:r>
      <w:r w:rsidR="005668DB" w:rsidRPr="001D1CA1">
        <w:t xml:space="preserve"> a process of</w:t>
      </w:r>
      <w:r w:rsidR="00F52BE4" w:rsidRPr="001D1CA1">
        <w:t xml:space="preserve"> instrumental learning </w:t>
      </w:r>
      <w:r w:rsidR="00924E33" w:rsidRPr="001D1CA1">
        <w:t xml:space="preserve">giving rise to </w:t>
      </w:r>
      <w:r w:rsidR="000A5885" w:rsidRPr="001D1CA1">
        <w:t>“new understandings of the viability of policy interven</w:t>
      </w:r>
      <w:r w:rsidR="001E7804" w:rsidRPr="001D1CA1">
        <w:t>tions or implementation designs</w:t>
      </w:r>
      <w:r w:rsidR="000A5885" w:rsidRPr="001D1CA1">
        <w:t>”</w:t>
      </w:r>
      <w:r w:rsidR="00B80659" w:rsidRPr="001D1CA1">
        <w:rPr>
          <w:rStyle w:val="FootnoteReference"/>
        </w:rPr>
        <w:footnoteReference w:id="107"/>
      </w:r>
      <w:r w:rsidR="001E7804" w:rsidRPr="001D1CA1">
        <w:t xml:space="preserve"> and a consequent change in policy beliefs</w:t>
      </w:r>
      <w:r w:rsidR="004C5E78" w:rsidRPr="001D1CA1">
        <w:t xml:space="preserve"> </w:t>
      </w:r>
      <w:r w:rsidR="001E7804" w:rsidRPr="001D1CA1">
        <w:t>held by domestic policy actors.</w:t>
      </w:r>
      <w:r w:rsidR="00442256" w:rsidRPr="001D1CA1">
        <w:t xml:space="preserve"> </w:t>
      </w:r>
      <w:r w:rsidR="003F2110" w:rsidRPr="001D1CA1">
        <w:t xml:space="preserve">Depending on its credibility and format, such knowledge can also serve as a political resource that can be leveraged by domestic policy actors to persuade other actors </w:t>
      </w:r>
      <w:r w:rsidR="00022789" w:rsidRPr="001D1CA1">
        <w:t>to change their policy beliefs or preferences.</w:t>
      </w:r>
      <w:r w:rsidR="00022789" w:rsidRPr="001D1CA1">
        <w:rPr>
          <w:rStyle w:val="FootnoteReference"/>
        </w:rPr>
        <w:footnoteReference w:id="108"/>
      </w:r>
      <w:r w:rsidR="003F2110" w:rsidRPr="001D1CA1">
        <w:t xml:space="preserve"> </w:t>
      </w:r>
      <w:r w:rsidR="00FD7DE7" w:rsidRPr="001D1CA1">
        <w:t>Previous studies suggest</w:t>
      </w:r>
      <w:r w:rsidR="005668DB" w:rsidRPr="001D1CA1">
        <w:t xml:space="preserve"> that the effectiveness of knowledge generation and sharing as a mode of influence depends </w:t>
      </w:r>
      <w:r w:rsidR="00B34463" w:rsidRPr="001D1CA1">
        <w:t xml:space="preserve">in large part </w:t>
      </w:r>
      <w:r w:rsidR="005668DB" w:rsidRPr="001D1CA1">
        <w:t xml:space="preserve">on the </w:t>
      </w:r>
      <w:r w:rsidR="00B34463" w:rsidRPr="001D1CA1">
        <w:t>availability and collaboration of wi</w:t>
      </w:r>
      <w:r w:rsidR="00B44165" w:rsidRPr="001D1CA1">
        <w:t>lling domestic p</w:t>
      </w:r>
      <w:r w:rsidR="00DE4027" w:rsidRPr="001D1CA1">
        <w:t>olicy actors</w:t>
      </w:r>
      <w:r w:rsidR="00B44165" w:rsidRPr="001D1CA1">
        <w:t xml:space="preserve"> that adopt and promote the knowledge provided by transnational policy actors.</w:t>
      </w:r>
      <w:r w:rsidR="00B34463" w:rsidRPr="001D1CA1">
        <w:rPr>
          <w:rStyle w:val="FootnoteReference"/>
        </w:rPr>
        <w:footnoteReference w:id="109"/>
      </w:r>
      <w:r w:rsidR="00211CC0" w:rsidRPr="001D1CA1">
        <w:t xml:space="preserve"> </w:t>
      </w:r>
    </w:p>
    <w:p w14:paraId="1966679A" w14:textId="77777777" w:rsidR="00973A91" w:rsidRPr="001D1CA1" w:rsidRDefault="00973A91" w:rsidP="009F4955"/>
    <w:p w14:paraId="1EA82D4E" w14:textId="7DD890E8" w:rsidR="00973A91" w:rsidRPr="002307D1" w:rsidRDefault="00D462A2" w:rsidP="002307D1">
      <w:r>
        <w:rPr>
          <w:bCs/>
        </w:rPr>
        <w:t>A</w:t>
      </w:r>
      <w:r w:rsidR="00973A91" w:rsidRPr="001D1CA1">
        <w:rPr>
          <w:bCs/>
        </w:rPr>
        <w:t xml:space="preserve"> number of REDD+ capacity-building and training initiatives are being developed and implemented</w:t>
      </w:r>
      <w:r>
        <w:rPr>
          <w:bCs/>
        </w:rPr>
        <w:t xml:space="preserve"> by transnational policy actors </w:t>
      </w:r>
      <w:r w:rsidR="00973A91" w:rsidRPr="001D1CA1">
        <w:rPr>
          <w:bCs/>
        </w:rPr>
        <w:t>that focus specifically on human rights issues and considerations relevant to the REDD+ readiness phase. UN-REDD has developed guidelines to outline normative, policy, and operational frameworks to guide the activities of its country partners with respect to the right to free, prior and informed consent.</w:t>
      </w:r>
      <w:r w:rsidR="00973A91" w:rsidRPr="001D1CA1">
        <w:rPr>
          <w:rStyle w:val="FootnoteReference"/>
          <w:bCs/>
        </w:rPr>
        <w:footnoteReference w:id="110"/>
      </w:r>
      <w:r w:rsidR="00973A91" w:rsidRPr="001D1CA1">
        <w:rPr>
          <w:bCs/>
        </w:rPr>
        <w:t xml:space="preserve"> UN-REDD has also collaborated with the World Bank to develop guidelines for stakeholder engagement, with a focus on the participation of Indigenous and forest-dependent communities.</w:t>
      </w:r>
      <w:r w:rsidR="00973A91" w:rsidRPr="001D1CA1">
        <w:rPr>
          <w:rStyle w:val="FootnoteReference"/>
          <w:bCs/>
        </w:rPr>
        <w:footnoteReference w:id="111"/>
      </w:r>
      <w:r w:rsidR="00973A91" w:rsidRPr="001D1CA1">
        <w:rPr>
          <w:bCs/>
        </w:rPr>
        <w:t xml:space="preserve"> Another example is a guidebook prepared by the Center for People and Forests (RECOFTC), with funding from GIZ and NORAD, on free, prior, and informed consent in REDD+.</w:t>
      </w:r>
      <w:r w:rsidR="00973A91" w:rsidRPr="001D1CA1">
        <w:rPr>
          <w:rStyle w:val="FootnoteReference"/>
          <w:bCs/>
        </w:rPr>
        <w:footnoteReference w:id="112"/>
      </w:r>
      <w:r w:rsidR="00973A91" w:rsidRPr="001D1CA1">
        <w:rPr>
          <w:bCs/>
        </w:rPr>
        <w:t xml:space="preserve"> </w:t>
      </w:r>
      <w:r w:rsidR="00973A91" w:rsidRPr="001D1CA1">
        <w:rPr>
          <w:szCs w:val="20"/>
        </w:rPr>
        <w:t>One final example</w:t>
      </w:r>
      <w:r w:rsidR="00973A91" w:rsidRPr="001D1CA1">
        <w:t xml:space="preserve"> is the REDD+ Social &amp; Environmental Standards that have been developed through a global multi-stakeholder process facilitated by the CCBA and CARE International. The REDD+ Social &amp; Environmental Standards do not apply to specific forest carbon projects and can instead “</w:t>
      </w:r>
      <w:r w:rsidR="00973A91" w:rsidRPr="001D1CA1">
        <w:rPr>
          <w:lang w:val="en-US"/>
        </w:rPr>
        <w:t>be used by governments, NGOs, financing agencies and other stakeholders to support the design and implementation of REDD+ programs that respect the rights of Indigenous Peoples and local communities and generate significant social and biodiversity benefits.”</w:t>
      </w:r>
      <w:r w:rsidR="00973A91" w:rsidRPr="001D1CA1">
        <w:rPr>
          <w:rStyle w:val="FootnoteReference"/>
          <w:lang w:val="en-US"/>
        </w:rPr>
        <w:footnoteReference w:id="113"/>
      </w:r>
    </w:p>
    <w:p w14:paraId="116D5036" w14:textId="4864D5CB" w:rsidR="00655EE5" w:rsidRPr="001D1CA1" w:rsidRDefault="00655EE5" w:rsidP="009F4955">
      <w:pPr>
        <w:pStyle w:val="Heading3"/>
        <w:spacing w:line="240" w:lineRule="auto"/>
      </w:pPr>
      <w:r w:rsidRPr="001D1CA1">
        <w:t xml:space="preserve">Norm </w:t>
      </w:r>
      <w:r w:rsidR="005F26FD" w:rsidRPr="001D1CA1">
        <w:t>Development &amp; Diffusion</w:t>
      </w:r>
    </w:p>
    <w:p w14:paraId="1DEBCDCD" w14:textId="413DCDDC" w:rsidR="00E13C2A" w:rsidRPr="001D1CA1" w:rsidRDefault="00E043C0" w:rsidP="009F4955">
      <w:r w:rsidRPr="001D1CA1">
        <w:rPr>
          <w:bCs/>
        </w:rPr>
        <w:t xml:space="preserve">Transnational policy actors </w:t>
      </w:r>
      <w:r w:rsidR="001E7804" w:rsidRPr="001D1CA1">
        <w:t>can</w:t>
      </w:r>
      <w:r w:rsidR="00DA1B93" w:rsidRPr="001D1CA1">
        <w:t xml:space="preserve"> </w:t>
      </w:r>
      <w:r w:rsidR="001E7804" w:rsidRPr="001D1CA1">
        <w:t>influence domestic policy-making through the development and diffusion of</w:t>
      </w:r>
      <w:r w:rsidR="0076397D" w:rsidRPr="001D1CA1">
        <w:t xml:space="preserve"> international</w:t>
      </w:r>
      <w:r w:rsidR="001E7804" w:rsidRPr="001D1CA1">
        <w:t xml:space="preserve"> norms understood as </w:t>
      </w:r>
      <w:r w:rsidR="009E567C" w:rsidRPr="001D1CA1">
        <w:t>intersubjective understandings that set standards of appropriate</w:t>
      </w:r>
      <w:bookmarkStart w:id="31" w:name="_Ref194985697"/>
      <w:r w:rsidR="009E567C" w:rsidRPr="001D1CA1">
        <w:t xml:space="preserve"> behaviour</w:t>
      </w:r>
      <w:r w:rsidR="0047648A" w:rsidRPr="001D1CA1">
        <w:t xml:space="preserve"> for those actors to whom they are addressed</w:t>
      </w:r>
      <w:r w:rsidR="009E567C" w:rsidRPr="001D1CA1">
        <w:t>.</w:t>
      </w:r>
      <w:bookmarkStart w:id="32" w:name="_Ref219184607"/>
      <w:r w:rsidR="009E567C" w:rsidRPr="001D1CA1">
        <w:rPr>
          <w:rStyle w:val="FootnoteReference"/>
        </w:rPr>
        <w:footnoteReference w:id="114"/>
      </w:r>
      <w:bookmarkEnd w:id="31"/>
      <w:bookmarkEnd w:id="32"/>
      <w:r w:rsidR="00E267FA" w:rsidRPr="001D1CA1">
        <w:t xml:space="preserve"> </w:t>
      </w:r>
      <w:r w:rsidR="00B44165" w:rsidRPr="001D1CA1">
        <w:t>Transnational policy actors may</w:t>
      </w:r>
      <w:r w:rsidR="007D793C" w:rsidRPr="001D1CA1">
        <w:t xml:space="preserve"> develop and</w:t>
      </w:r>
      <w:r w:rsidR="00B44165" w:rsidRPr="001D1CA1">
        <w:t xml:space="preserve"> diffuse norms </w:t>
      </w:r>
      <w:r w:rsidR="007D793C" w:rsidRPr="001D1CA1">
        <w:t>by organising meetings, networks, and projects that facilitate the processes of socialization that underl</w:t>
      </w:r>
      <w:r w:rsidR="00D42DAA" w:rsidRPr="001D1CA1">
        <w:t>ie the emergence and effectiveness</w:t>
      </w:r>
      <w:r w:rsidR="007D793C" w:rsidRPr="001D1CA1">
        <w:t xml:space="preserve"> of international norms.</w:t>
      </w:r>
      <w:r w:rsidR="007D793C" w:rsidRPr="001D1CA1">
        <w:rPr>
          <w:rStyle w:val="FootnoteReference"/>
        </w:rPr>
        <w:footnoteReference w:id="115"/>
      </w:r>
      <w:r w:rsidR="007D793C" w:rsidRPr="001D1CA1">
        <w:t xml:space="preserve"> </w:t>
      </w:r>
      <w:r w:rsidR="00DE4027" w:rsidRPr="001D1CA1">
        <w:t xml:space="preserve">As a result of their social </w:t>
      </w:r>
      <w:r w:rsidR="00655EE5" w:rsidRPr="001D1CA1">
        <w:t xml:space="preserve">interactions with </w:t>
      </w:r>
      <w:r w:rsidR="00DE4027" w:rsidRPr="001D1CA1">
        <w:t>other</w:t>
      </w:r>
      <w:r w:rsidR="0076397D" w:rsidRPr="001D1CA1">
        <w:t xml:space="preserve"> transnational</w:t>
      </w:r>
      <w:r w:rsidR="00655EE5" w:rsidRPr="001D1CA1">
        <w:t xml:space="preserve"> interlocutors</w:t>
      </w:r>
      <w:r w:rsidR="00DE4027" w:rsidRPr="001D1CA1">
        <w:t>, domestic policy actors may be socialized</w:t>
      </w:r>
      <w:r w:rsidR="00655EE5" w:rsidRPr="001D1CA1">
        <w:t xml:space="preserve"> into adopting poli</w:t>
      </w:r>
      <w:r w:rsidR="0076397D" w:rsidRPr="001D1CA1">
        <w:t>cy beliefs that conform with an international norm</w:t>
      </w:r>
      <w:r w:rsidR="00655EE5" w:rsidRPr="001D1CA1">
        <w:t>.</w:t>
      </w:r>
      <w:bookmarkStart w:id="33" w:name="_Ref219880052"/>
      <w:r w:rsidR="006126EE" w:rsidRPr="001D1CA1">
        <w:rPr>
          <w:rStyle w:val="FootnoteReference"/>
        </w:rPr>
        <w:footnoteReference w:id="116"/>
      </w:r>
      <w:bookmarkEnd w:id="33"/>
      <w:r w:rsidR="00655EE5" w:rsidRPr="001D1CA1">
        <w:t xml:space="preserve"> In it deepest form, socializ</w:t>
      </w:r>
      <w:r w:rsidR="00DE4027" w:rsidRPr="001D1CA1">
        <w:t xml:space="preserve">ation leads to internalization whereby </w:t>
      </w:r>
      <w:r w:rsidR="00DE4027" w:rsidRPr="001D1CA1">
        <w:rPr>
          <w:lang w:val="en-US"/>
        </w:rPr>
        <w:t>an</w:t>
      </w:r>
      <w:r w:rsidR="0076397D" w:rsidRPr="001D1CA1">
        <w:rPr>
          <w:lang w:val="en-US"/>
        </w:rPr>
        <w:t xml:space="preserve"> international</w:t>
      </w:r>
      <w:r w:rsidR="00655EE5" w:rsidRPr="001D1CA1">
        <w:rPr>
          <w:lang w:val="en-US"/>
        </w:rPr>
        <w:t xml:space="preserve"> norm </w:t>
      </w:r>
      <w:r w:rsidR="00DE4027" w:rsidRPr="001D1CA1">
        <w:rPr>
          <w:lang w:val="en-US"/>
        </w:rPr>
        <w:t>achieves</w:t>
      </w:r>
      <w:r w:rsidR="00655EE5" w:rsidRPr="001D1CA1">
        <w:rPr>
          <w:lang w:val="en-US"/>
        </w:rPr>
        <w:t xml:space="preserve"> a “taken-for- granted quality,” thus making “conformance with the norm almost automatic.”</w:t>
      </w:r>
      <w:r w:rsidR="00655EE5" w:rsidRPr="001D1CA1">
        <w:rPr>
          <w:rStyle w:val="FootnoteReference"/>
          <w:lang w:val="en-US"/>
        </w:rPr>
        <w:footnoteReference w:id="117"/>
      </w:r>
      <w:r w:rsidR="00655EE5" w:rsidRPr="001D1CA1">
        <w:rPr>
          <w:lang w:val="en-US"/>
        </w:rPr>
        <w:t xml:space="preserve"> </w:t>
      </w:r>
      <w:r w:rsidR="0076397D" w:rsidRPr="001D1CA1">
        <w:t>A</w:t>
      </w:r>
      <w:r w:rsidR="00655EE5" w:rsidRPr="001D1CA1">
        <w:t xml:space="preserve"> shallower form of socialization is acculturation, which Goodman and Jinks define as “the general process by which actors adopt the beliefs and behavioural patterns of the surrounding culture.”</w:t>
      </w:r>
      <w:r w:rsidR="00655EE5" w:rsidRPr="001D1CA1">
        <w:rPr>
          <w:rStyle w:val="FootnoteReference"/>
        </w:rPr>
        <w:t xml:space="preserve"> </w:t>
      </w:r>
      <w:bookmarkStart w:id="34" w:name="_Ref198614909"/>
      <w:bookmarkStart w:id="35" w:name="_Ref218927038"/>
      <w:r w:rsidR="00655EE5" w:rsidRPr="001D1CA1">
        <w:rPr>
          <w:rStyle w:val="FootnoteReference"/>
        </w:rPr>
        <w:footnoteReference w:id="118"/>
      </w:r>
      <w:bookmarkEnd w:id="34"/>
      <w:bookmarkEnd w:id="35"/>
      <w:r w:rsidR="00C90F4F" w:rsidRPr="001D1CA1">
        <w:t xml:space="preserve"> </w:t>
      </w:r>
      <w:r w:rsidR="00EA378E" w:rsidRPr="001D1CA1">
        <w:t xml:space="preserve">In addition to shaping the policy beliefs of domestic actors, the generation and diffusion of norms </w:t>
      </w:r>
      <w:r w:rsidR="00D14FCE" w:rsidRPr="001D1CA1">
        <w:t xml:space="preserve">can also </w:t>
      </w:r>
      <w:r w:rsidR="007B4571" w:rsidRPr="001D1CA1">
        <w:t xml:space="preserve">influence </w:t>
      </w:r>
      <w:r w:rsidR="00EA378E" w:rsidRPr="001D1CA1">
        <w:t xml:space="preserve">policy-making processes through their ability to </w:t>
      </w:r>
      <w:r w:rsidR="00022789" w:rsidRPr="001D1CA1">
        <w:t>alter</w:t>
      </w:r>
      <w:r w:rsidR="005A4B96" w:rsidRPr="001D1CA1">
        <w:t xml:space="preserve"> the capabilities of </w:t>
      </w:r>
      <w:r w:rsidR="00EA378E" w:rsidRPr="001D1CA1">
        <w:t>domestic</w:t>
      </w:r>
      <w:r w:rsidR="005A4B96" w:rsidRPr="001D1CA1">
        <w:t xml:space="preserve"> policy actors</w:t>
      </w:r>
      <w:r w:rsidR="00076864" w:rsidRPr="001D1CA1">
        <w:t>. Indeed, international norms may provide domestic policy actors and coalitions with powerful rhetorical tools that can legitimize their claims and grievances</w:t>
      </w:r>
      <w:r w:rsidR="00DA6A69" w:rsidRPr="001D1CA1">
        <w:t xml:space="preserve">, </w:t>
      </w:r>
      <w:r w:rsidR="00076864" w:rsidRPr="001D1CA1">
        <w:t xml:space="preserve">enhance their opportunities for </w:t>
      </w:r>
      <w:r w:rsidR="00DA6A69" w:rsidRPr="001D1CA1">
        <w:t xml:space="preserve">mobilizing and coalition building, </w:t>
      </w:r>
      <w:r w:rsidR="00022789" w:rsidRPr="001D1CA1">
        <w:t xml:space="preserve">empower them in policy processes, </w:t>
      </w:r>
      <w:r w:rsidR="00DA6A69" w:rsidRPr="001D1CA1">
        <w:t xml:space="preserve">and enable them to </w:t>
      </w:r>
      <w:r w:rsidR="00C90F4F" w:rsidRPr="001D1CA1">
        <w:t>pressure</w:t>
      </w:r>
      <w:r w:rsidR="00076864" w:rsidRPr="001D1CA1">
        <w:t xml:space="preserve"> </w:t>
      </w:r>
      <w:r w:rsidR="00DA6A69" w:rsidRPr="001D1CA1">
        <w:t xml:space="preserve">other </w:t>
      </w:r>
      <w:r w:rsidR="00076864" w:rsidRPr="001D1CA1">
        <w:t xml:space="preserve">domestic </w:t>
      </w:r>
      <w:r w:rsidR="00DA6A69" w:rsidRPr="001D1CA1">
        <w:t>actors</w:t>
      </w:r>
      <w:r w:rsidR="00C90F4F" w:rsidRPr="001D1CA1">
        <w:t xml:space="preserve"> into changing their policy preferences</w:t>
      </w:r>
      <w:r w:rsidR="00076864" w:rsidRPr="001D1CA1">
        <w:t>.</w:t>
      </w:r>
      <w:bookmarkStart w:id="36" w:name="_Ref219882938"/>
      <w:r w:rsidR="00DA6A69" w:rsidRPr="001D1CA1">
        <w:rPr>
          <w:rStyle w:val="FootnoteReference"/>
        </w:rPr>
        <w:footnoteReference w:id="119"/>
      </w:r>
      <w:bookmarkEnd w:id="36"/>
      <w:r w:rsidR="00076864" w:rsidRPr="001D1CA1">
        <w:t xml:space="preserve"> </w:t>
      </w:r>
      <w:r w:rsidR="00F7032A" w:rsidRPr="001D1CA1">
        <w:t xml:space="preserve">Existing research suggests that the salience, resonance or “fit” of international norms with domestic norms is critical to their </w:t>
      </w:r>
      <w:r w:rsidR="00990D7B" w:rsidRPr="001D1CA1">
        <w:t>impact on domestic policy-making</w:t>
      </w:r>
      <w:r w:rsidR="00FD7DE7" w:rsidRPr="001D1CA1">
        <w:t>.</w:t>
      </w:r>
      <w:bookmarkStart w:id="37" w:name="_Ref224717887"/>
      <w:r w:rsidR="00FD7DE7" w:rsidRPr="001D1CA1">
        <w:rPr>
          <w:rStyle w:val="FootnoteReference"/>
        </w:rPr>
        <w:footnoteReference w:id="120"/>
      </w:r>
      <w:bookmarkEnd w:id="37"/>
      <w:r w:rsidR="00FD7DE7" w:rsidRPr="001D1CA1">
        <w:t xml:space="preserve"> </w:t>
      </w:r>
      <w:r w:rsidR="005A4B96" w:rsidRPr="001D1CA1">
        <w:t>T</w:t>
      </w:r>
      <w:r w:rsidR="00FD7DE7" w:rsidRPr="001D1CA1">
        <w:t>he effectiveness of norm development and diffusion as a mode of transnational policy influence</w:t>
      </w:r>
      <w:r w:rsidR="00F7032A" w:rsidRPr="001D1CA1">
        <w:t xml:space="preserve"> can</w:t>
      </w:r>
      <w:r w:rsidR="005A4B96" w:rsidRPr="001D1CA1">
        <w:t xml:space="preserve"> also</w:t>
      </w:r>
      <w:r w:rsidR="00F7032A" w:rsidRPr="001D1CA1">
        <w:t xml:space="preserve"> t</w:t>
      </w:r>
      <w:r w:rsidR="00B14255" w:rsidRPr="001D1CA1">
        <w:t>herefore be expected to depend on the ability of domestic policy actors to tr</w:t>
      </w:r>
      <w:r w:rsidR="00C90F4F" w:rsidRPr="001D1CA1">
        <w:t>anslate</w:t>
      </w:r>
      <w:r w:rsidR="004D1ED5" w:rsidRPr="001D1CA1">
        <w:t>, adapt, and leverage</w:t>
      </w:r>
      <w:r w:rsidR="00C90F4F" w:rsidRPr="001D1CA1">
        <w:t xml:space="preserve"> international norms</w:t>
      </w:r>
      <w:r w:rsidR="004D1ED5" w:rsidRPr="001D1CA1">
        <w:t xml:space="preserve"> in ways that resonate at the domestic level.</w:t>
      </w:r>
      <w:r w:rsidR="00B14255" w:rsidRPr="001D1CA1">
        <w:rPr>
          <w:rStyle w:val="FootnoteReference"/>
        </w:rPr>
        <w:footnoteReference w:id="121"/>
      </w:r>
      <w:r w:rsidR="00E13C2A" w:rsidRPr="001D1CA1">
        <w:t xml:space="preserve"> </w:t>
      </w:r>
    </w:p>
    <w:p w14:paraId="1FF7FC38" w14:textId="77777777" w:rsidR="00973A91" w:rsidRPr="001D1CA1" w:rsidRDefault="00973A91" w:rsidP="009F4955"/>
    <w:p w14:paraId="0C47DAFD" w14:textId="77777777" w:rsidR="00973A91" w:rsidRPr="001D1CA1" w:rsidRDefault="00973A91" w:rsidP="009F4955">
      <w:r w:rsidRPr="001D1CA1">
        <w:t xml:space="preserve">There is certainly evidence that a number of shared normative understandings are emerging in the REDD+ readiness phase about appropriate methodologies and interventions. </w:t>
      </w:r>
      <w:r w:rsidRPr="001D1CA1">
        <w:rPr>
          <w:bCs/>
        </w:rPr>
        <w:t>Norm candidates that are especially relevant to the human rights implications of REDD+ include the notion that the clarification of resource and tenure rights is critical for the implementation of REDD+,</w:t>
      </w:r>
      <w:r w:rsidRPr="001D1CA1">
        <w:rPr>
          <w:rStyle w:val="FootnoteReference"/>
          <w:bCs/>
        </w:rPr>
        <w:footnoteReference w:id="122"/>
      </w:r>
      <w:r w:rsidRPr="001D1CA1">
        <w:rPr>
          <w:bCs/>
        </w:rPr>
        <w:t xml:space="preserve"> that Indigenous and local communities</w:t>
      </w:r>
      <w:r w:rsidRPr="001D1CA1">
        <w:t xml:space="preserve"> should participate in the design and implementation of REDD+ projects,</w:t>
      </w:r>
      <w:r w:rsidRPr="001D1CA1">
        <w:rPr>
          <w:rStyle w:val="FootnoteReference"/>
        </w:rPr>
        <w:footnoteReference w:id="123"/>
      </w:r>
      <w:r w:rsidRPr="001D1CA1">
        <w:t xml:space="preserve"> and that the distribution of REDD+ benefits should take place in an equitable, transparent, and corruption-free manner.</w:t>
      </w:r>
      <w:r w:rsidRPr="001D1CA1">
        <w:rPr>
          <w:rStyle w:val="FootnoteReference"/>
        </w:rPr>
        <w:footnoteReference w:id="124"/>
      </w:r>
    </w:p>
    <w:p w14:paraId="3BA8E078" w14:textId="77777777" w:rsidR="00973A91" w:rsidRPr="001D1CA1" w:rsidRDefault="00973A91" w:rsidP="009F4955"/>
    <w:p w14:paraId="0793C35E" w14:textId="1AE732D1" w:rsidR="00973A91" w:rsidRPr="00E0103F" w:rsidRDefault="00973A91" w:rsidP="009F4955">
      <w:pPr>
        <w:rPr>
          <w:bCs/>
        </w:rPr>
      </w:pPr>
      <w:r w:rsidRPr="001D1CA1">
        <w:t>These emerging norms are of course related to broader trends in the fields of forest governance and conservation. First, principles relating to inclusiveness, transparency, accountability, equity, and subsidiarity have garnered increased recognition in the field of forest governance.</w:t>
      </w:r>
      <w:r w:rsidRPr="001D1CA1">
        <w:rPr>
          <w:rStyle w:val="FootnoteReference"/>
        </w:rPr>
        <w:footnoteReference w:id="125"/>
      </w:r>
      <w:r w:rsidRPr="001D1CA1">
        <w:t xml:space="preserve"> </w:t>
      </w:r>
      <w:r w:rsidRPr="001D1CA1">
        <w:rPr>
          <w:bCs/>
        </w:rPr>
        <w:t>In particular the salience of rights in the forestry sector has increased considerably over the last decade due to broader changes in the ideas held by policy-makers and practitioners, resulting in a shift toward decentralization and devolution of forest control and management.</w:t>
      </w:r>
      <w:bookmarkStart w:id="38" w:name="_Ref194591044"/>
      <w:r w:rsidRPr="001D1CA1">
        <w:rPr>
          <w:rStyle w:val="FootnoteReference"/>
          <w:bCs/>
        </w:rPr>
        <w:footnoteReference w:id="126"/>
      </w:r>
      <w:bookmarkEnd w:id="38"/>
      <w:r w:rsidRPr="001D1CA1">
        <w:rPr>
          <w:bCs/>
        </w:rPr>
        <w:t xml:space="preserve"> </w:t>
      </w:r>
      <w:r w:rsidRPr="001D1CA1">
        <w:t>In addition, h</w:t>
      </w:r>
      <w:r w:rsidRPr="001D1CA1">
        <w:rPr>
          <w:bCs/>
        </w:rPr>
        <w:t>uman rights have been increasingly integrated within the policies and practices of a range of actors in the development and environmental fields. NGO campaigns to pressure the multilateral development banks as well as large conservation NGOs to mitigate the social risks and impacts of their practices and activities has led these actors to adopt increasingly stringent operational and procedures that incorporate human rights standards.</w:t>
      </w:r>
      <w:bookmarkStart w:id="39" w:name="_Ref194910311"/>
      <w:r w:rsidRPr="001D1CA1">
        <w:rPr>
          <w:rStyle w:val="FootnoteReference"/>
          <w:bCs/>
        </w:rPr>
        <w:footnoteReference w:id="127"/>
      </w:r>
      <w:bookmarkEnd w:id="39"/>
      <w:r w:rsidRPr="001D1CA1">
        <w:rPr>
          <w:bCs/>
        </w:rPr>
        <w:t xml:space="preserve"> The concept of rights-based approaches is now widespread in the development field</w:t>
      </w:r>
      <w:r w:rsidRPr="001D1CA1">
        <w:rPr>
          <w:rStyle w:val="FootnoteReference"/>
          <w:bCs/>
        </w:rPr>
        <w:footnoteReference w:id="128"/>
      </w:r>
      <w:r w:rsidRPr="001D1CA1">
        <w:rPr>
          <w:bCs/>
        </w:rPr>
        <w:t xml:space="preserve"> and is gaining increasing currency among conservation practitioners as well.</w:t>
      </w:r>
      <w:r w:rsidRPr="001D1CA1">
        <w:rPr>
          <w:rStyle w:val="FootnoteReference"/>
          <w:bCs/>
        </w:rPr>
        <w:footnoteReference w:id="129"/>
      </w:r>
      <w:r w:rsidRPr="001D1CA1">
        <w:rPr>
          <w:bCs/>
        </w:rPr>
        <w:t xml:space="preserve"> Finally, the research, advocacy, and conservation NGOs that have pressed for the recognition of these norms within these broader fields have also brought their energies and efforts to the REDD+ readiness phase, which has provided another venue and set of opportunities for influencing the ideas, policies, and activities of </w:t>
      </w:r>
      <w:r w:rsidR="00E0103F">
        <w:rPr>
          <w:bCs/>
        </w:rPr>
        <w:t>domestic policy actors</w:t>
      </w:r>
      <w:r w:rsidRPr="001D1CA1">
        <w:rPr>
          <w:bCs/>
        </w:rPr>
        <w:t>.</w:t>
      </w:r>
      <w:r w:rsidRPr="001D1CA1">
        <w:rPr>
          <w:rStyle w:val="FootnoteReference"/>
          <w:bCs/>
        </w:rPr>
        <w:footnoteReference w:id="130"/>
      </w:r>
    </w:p>
    <w:p w14:paraId="76F9660B" w14:textId="77777777" w:rsidR="00E13C2A" w:rsidRPr="001D1CA1" w:rsidRDefault="00F67EDA" w:rsidP="009F4955">
      <w:pPr>
        <w:pStyle w:val="Heading3"/>
        <w:spacing w:line="240" w:lineRule="auto"/>
        <w:rPr>
          <w:vertAlign w:val="superscript"/>
        </w:rPr>
      </w:pPr>
      <w:r w:rsidRPr="001D1CA1">
        <w:t>International Law-Making</w:t>
      </w:r>
    </w:p>
    <w:p w14:paraId="16C1F1A1" w14:textId="5A85CA32" w:rsidR="00227A99" w:rsidRPr="001D1CA1" w:rsidRDefault="00B10C1E" w:rsidP="009F4955">
      <w:r w:rsidRPr="001D1CA1">
        <w:rPr>
          <w:bCs/>
        </w:rPr>
        <w:t>Transnational policy actors can</w:t>
      </w:r>
      <w:r w:rsidR="0032086A" w:rsidRPr="001D1CA1">
        <w:rPr>
          <w:bCs/>
        </w:rPr>
        <w:t xml:space="preserve"> exert</w:t>
      </w:r>
      <w:r w:rsidRPr="001D1CA1">
        <w:t xml:space="preserve"> inf</w:t>
      </w:r>
      <w:r w:rsidR="001E4A84" w:rsidRPr="001D1CA1">
        <w:t>luence</w:t>
      </w:r>
      <w:r w:rsidR="0032086A" w:rsidRPr="001D1CA1">
        <w:t xml:space="preserve"> on</w:t>
      </w:r>
      <w:r w:rsidR="001E4A84" w:rsidRPr="001D1CA1">
        <w:t xml:space="preserve"> domestic policy-making through</w:t>
      </w:r>
      <w:r w:rsidR="00F67EDA" w:rsidRPr="001D1CA1">
        <w:t xml:space="preserve"> </w:t>
      </w:r>
      <w:r w:rsidR="00724067" w:rsidRPr="001D1CA1">
        <w:t>international law</w:t>
      </w:r>
      <w:r w:rsidR="00F67EDA" w:rsidRPr="001D1CA1">
        <w:t>-making, understood broadly as the development of rules</w:t>
      </w:r>
      <w:r w:rsidR="008B76D1" w:rsidRPr="001D1CA1">
        <w:t>, principles, and norms</w:t>
      </w:r>
      <w:r w:rsidR="004A4236" w:rsidRPr="001D1CA1">
        <w:t xml:space="preserve"> within a</w:t>
      </w:r>
      <w:r w:rsidR="008B76D1" w:rsidRPr="001D1CA1">
        <w:t>n</w:t>
      </w:r>
      <w:r w:rsidR="004A4236" w:rsidRPr="001D1CA1">
        <w:t xml:space="preserve"> </w:t>
      </w:r>
      <w:r w:rsidR="008B76D1" w:rsidRPr="001D1CA1">
        <w:t>institutionalized setting</w:t>
      </w:r>
      <w:r w:rsidR="00B1154B" w:rsidRPr="001D1CA1">
        <w:t xml:space="preserve"> operating at the international level</w:t>
      </w:r>
      <w:r w:rsidR="009537E9" w:rsidRPr="001D1CA1">
        <w:t>.</w:t>
      </w:r>
      <w:r w:rsidR="004A4236" w:rsidRPr="001D1CA1">
        <w:t xml:space="preserve"> As Stone Sweet explains, </w:t>
      </w:r>
      <w:r w:rsidR="0007466E" w:rsidRPr="001D1CA1">
        <w:t>institutionalized environments</w:t>
      </w:r>
      <w:r w:rsidR="00182F56" w:rsidRPr="001D1CA1">
        <w:t xml:space="preserve"> exist on a continuum that varies on the basis of their specificity of their rules, the</w:t>
      </w:r>
      <w:r w:rsidR="0007466E" w:rsidRPr="001D1CA1">
        <w:t>ir degree of</w:t>
      </w:r>
      <w:r w:rsidR="00182F56" w:rsidRPr="001D1CA1">
        <w:t xml:space="preserve"> formality, and their capacity for centralised monitoring and</w:t>
      </w:r>
      <w:r w:rsidR="008B76D1" w:rsidRPr="001D1CA1">
        <w:t xml:space="preserve"> enforcement</w:t>
      </w:r>
      <w:r w:rsidR="0007466E" w:rsidRPr="001D1CA1">
        <w:t>.</w:t>
      </w:r>
      <w:r w:rsidR="0007466E" w:rsidRPr="001D1CA1">
        <w:rPr>
          <w:rStyle w:val="FootnoteReference"/>
          <w:rFonts w:cs="Times New Roman"/>
          <w:i/>
        </w:rPr>
        <w:footnoteReference w:id="131"/>
      </w:r>
      <w:r w:rsidR="008B76D1" w:rsidRPr="001D1CA1">
        <w:t xml:space="preserve"> </w:t>
      </w:r>
      <w:r w:rsidR="009B396C" w:rsidRPr="001D1CA1">
        <w:t>As such,</w:t>
      </w:r>
      <w:r w:rsidR="00126934" w:rsidRPr="001D1CA1">
        <w:t xml:space="preserve"> the ways in which</w:t>
      </w:r>
      <w:r w:rsidR="009B396C" w:rsidRPr="001D1CA1">
        <w:t xml:space="preserve"> transnational policy actors may be </w:t>
      </w:r>
      <w:r w:rsidR="00126934" w:rsidRPr="001D1CA1">
        <w:t>able to</w:t>
      </w:r>
      <w:r w:rsidR="006B4E6D" w:rsidRPr="001D1CA1">
        <w:t xml:space="preserve"> participate in</w:t>
      </w:r>
      <w:r w:rsidR="009B396C" w:rsidRPr="001D1CA1">
        <w:t xml:space="preserve"> the development of new international rules, principles, and norms</w:t>
      </w:r>
      <w:r w:rsidR="006B4E6D" w:rsidRPr="001D1CA1">
        <w:t xml:space="preserve"> </w:t>
      </w:r>
      <w:r w:rsidR="007001DB" w:rsidRPr="001D1CA1">
        <w:t xml:space="preserve">and support their </w:t>
      </w:r>
      <w:r w:rsidR="00126934" w:rsidRPr="001D1CA1">
        <w:t xml:space="preserve">eventual influence on </w:t>
      </w:r>
      <w:r w:rsidR="00DA0542" w:rsidRPr="001D1CA1">
        <w:t>domestic policy-making processes</w:t>
      </w:r>
      <w:r w:rsidR="00126934" w:rsidRPr="001D1CA1">
        <w:t xml:space="preserve"> dep</w:t>
      </w:r>
      <w:r w:rsidR="007001DB" w:rsidRPr="001D1CA1">
        <w:t>ends in large part on the</w:t>
      </w:r>
      <w:r w:rsidR="00126934" w:rsidRPr="001D1CA1">
        <w:t xml:space="preserve"> structure and features of </w:t>
      </w:r>
      <w:r w:rsidR="007001DB" w:rsidRPr="001D1CA1">
        <w:t>a particular institutionalized environment</w:t>
      </w:r>
      <w:r w:rsidR="00DA0542" w:rsidRPr="001D1CA1">
        <w:t>.</w:t>
      </w:r>
      <w:r w:rsidR="00DA0542" w:rsidRPr="001D1CA1">
        <w:rPr>
          <w:rStyle w:val="FootnoteReference"/>
          <w:i/>
        </w:rPr>
        <w:footnoteReference w:id="132"/>
      </w:r>
      <w:r w:rsidR="00EE619F" w:rsidRPr="001D1CA1">
        <w:t xml:space="preserve"> </w:t>
      </w:r>
      <w:r w:rsidR="00DA0542" w:rsidRPr="001D1CA1">
        <w:t xml:space="preserve">Nonetheless, two broad types of explanations have been developed to explain </w:t>
      </w:r>
      <w:r w:rsidR="00B965B9" w:rsidRPr="001D1CA1">
        <w:t>international law-making in various forms</w:t>
      </w:r>
      <w:r w:rsidR="00DA0542" w:rsidRPr="001D1CA1">
        <w:t xml:space="preserve"> and its influence on domestic politics. </w:t>
      </w:r>
      <w:r w:rsidR="00724067" w:rsidRPr="001D1CA1">
        <w:rPr>
          <w:rFonts w:cs="Times New Roman"/>
        </w:rPr>
        <w:t xml:space="preserve">Constructivist explanations </w:t>
      </w:r>
      <w:r w:rsidR="00B965B9" w:rsidRPr="001D1CA1">
        <w:rPr>
          <w:rFonts w:cs="Times New Roman"/>
        </w:rPr>
        <w:t>view the development of international law as the institutionalization of</w:t>
      </w:r>
      <w:r w:rsidR="002C28A8" w:rsidRPr="001D1CA1">
        <w:rPr>
          <w:rFonts w:cs="Times New Roman"/>
        </w:rPr>
        <w:t xml:space="preserve"> international norms</w:t>
      </w:r>
      <w:r w:rsidR="00CD2809" w:rsidRPr="001D1CA1">
        <w:rPr>
          <w:rStyle w:val="FootnoteReference"/>
          <w:rFonts w:cs="Times New Roman"/>
        </w:rPr>
        <w:footnoteReference w:id="133"/>
      </w:r>
      <w:r w:rsidR="00126934" w:rsidRPr="001D1CA1">
        <w:rPr>
          <w:rFonts w:cs="Times New Roman"/>
        </w:rPr>
        <w:t xml:space="preserve"> and</w:t>
      </w:r>
      <w:r w:rsidR="002C28A8" w:rsidRPr="001D1CA1">
        <w:rPr>
          <w:rFonts w:cs="Times New Roman"/>
        </w:rPr>
        <w:t xml:space="preserve"> thus highlight the importance of socialization between states, international organisations, and non-governmental organisations</w:t>
      </w:r>
      <w:r w:rsidR="008A4116" w:rsidRPr="001D1CA1">
        <w:rPr>
          <w:rFonts w:cs="Times New Roman"/>
        </w:rPr>
        <w:t>.</w:t>
      </w:r>
      <w:r w:rsidR="008A4116" w:rsidRPr="001D1CA1">
        <w:rPr>
          <w:rStyle w:val="FootnoteReference"/>
          <w:rFonts w:cs="Times New Roman"/>
        </w:rPr>
        <w:footnoteReference w:id="134"/>
      </w:r>
      <w:r w:rsidR="008A4116" w:rsidRPr="001D1CA1">
        <w:rPr>
          <w:rFonts w:cs="Times New Roman"/>
        </w:rPr>
        <w:t xml:space="preserve"> Likewise, transnational social processes are also critical to understanding whether and why domestic policy actors are likely to respect international law or particular international rules</w:t>
      </w:r>
      <w:r w:rsidR="008557D1" w:rsidRPr="001D1CA1">
        <w:rPr>
          <w:rFonts w:cs="Times New Roman"/>
        </w:rPr>
        <w:t xml:space="preserve"> and thereby alter their policy beliefs and preferences accordingly</w:t>
      </w:r>
      <w:r w:rsidR="002C28A8" w:rsidRPr="001D1CA1">
        <w:rPr>
          <w:rFonts w:cs="Times New Roman"/>
        </w:rPr>
        <w:t>.</w:t>
      </w:r>
      <w:r w:rsidR="00C52DE3" w:rsidRPr="001D1CA1">
        <w:rPr>
          <w:rStyle w:val="FootnoteReference"/>
          <w:rFonts w:cs="Times New Roman"/>
        </w:rPr>
        <w:footnoteReference w:id="135"/>
      </w:r>
      <w:r w:rsidR="00126934" w:rsidRPr="001D1CA1">
        <w:rPr>
          <w:rFonts w:cs="Times New Roman"/>
        </w:rPr>
        <w:t xml:space="preserve"> </w:t>
      </w:r>
      <w:r w:rsidR="00724067" w:rsidRPr="001D1CA1">
        <w:t>Rationalist explanations on the other hand view the commitment to</w:t>
      </w:r>
      <w:r w:rsidR="00C52DE3" w:rsidRPr="001D1CA1">
        <w:t>, and compliance with, international law</w:t>
      </w:r>
      <w:r w:rsidR="00724067" w:rsidRPr="001D1CA1">
        <w:t xml:space="preserve"> as resulting from the self-interested decision of utility-maximizing rational actors</w:t>
      </w:r>
      <w:r w:rsidR="006473CF" w:rsidRPr="001D1CA1">
        <w:t>.</w:t>
      </w:r>
      <w:r w:rsidR="006473CF" w:rsidRPr="001D1CA1">
        <w:rPr>
          <w:rStyle w:val="FootnoteReference"/>
        </w:rPr>
        <w:footnoteReference w:id="136"/>
      </w:r>
      <w:r w:rsidR="00724067" w:rsidRPr="001D1CA1">
        <w:t xml:space="preserve"> Rationalist scholars </w:t>
      </w:r>
      <w:r w:rsidR="00684B04" w:rsidRPr="001D1CA1">
        <w:t xml:space="preserve">argue that </w:t>
      </w:r>
      <w:r w:rsidR="008557D1" w:rsidRPr="001D1CA1">
        <w:t>domestic policy actors</w:t>
      </w:r>
      <w:r w:rsidR="00724067" w:rsidRPr="001D1CA1">
        <w:t xml:space="preserve"> decide to co</w:t>
      </w:r>
      <w:r w:rsidR="00895369" w:rsidRPr="001D1CA1">
        <w:t>mply with international rules when the</w:t>
      </w:r>
      <w:r w:rsidR="008B6817" w:rsidRPr="001D1CA1">
        <w:t xml:space="preserve"> </w:t>
      </w:r>
      <w:r w:rsidR="00895369" w:rsidRPr="001D1CA1">
        <w:t>benefits of doing so outweigh the costs, and particularly in</w:t>
      </w:r>
      <w:r w:rsidR="00724067" w:rsidRPr="001D1CA1">
        <w:t xml:space="preserve"> order to obtain or preserve the reputational benefits that accrue from compliance.</w:t>
      </w:r>
      <w:r w:rsidR="006473CF" w:rsidRPr="001D1CA1">
        <w:rPr>
          <w:rStyle w:val="FootnoteReference"/>
          <w:i/>
        </w:rPr>
        <w:footnoteReference w:id="137"/>
      </w:r>
      <w:r w:rsidR="00724067" w:rsidRPr="001D1CA1">
        <w:t xml:space="preserve"> </w:t>
      </w:r>
    </w:p>
    <w:p w14:paraId="391130F2" w14:textId="77777777" w:rsidR="00973A91" w:rsidRPr="001D1CA1" w:rsidRDefault="00973A91" w:rsidP="009F4955"/>
    <w:p w14:paraId="4860B011" w14:textId="7902A0CF" w:rsidR="00973A91" w:rsidRPr="001D1CA1" w:rsidRDefault="00973A91" w:rsidP="009F4955">
      <w:pPr>
        <w:rPr>
          <w:bCs/>
        </w:rPr>
      </w:pPr>
      <w:r w:rsidRPr="001D1CA1">
        <w:rPr>
          <w:bCs/>
        </w:rPr>
        <w:t xml:space="preserve">There are two </w:t>
      </w:r>
      <w:r w:rsidR="00E0103F">
        <w:rPr>
          <w:bCs/>
        </w:rPr>
        <w:t>forms of international law-making that transnational policy actors may pursue within the</w:t>
      </w:r>
      <w:r w:rsidRPr="001D1CA1">
        <w:rPr>
          <w:bCs/>
        </w:rPr>
        <w:t xml:space="preserve"> REDD+ readiness phase. One</w:t>
      </w:r>
      <w:r w:rsidR="00E0103F">
        <w:rPr>
          <w:bCs/>
        </w:rPr>
        <w:t xml:space="preserve"> form</w:t>
      </w:r>
      <w:r w:rsidRPr="001D1CA1">
        <w:rPr>
          <w:bCs/>
        </w:rPr>
        <w:t xml:space="preserve"> </w:t>
      </w:r>
      <w:r w:rsidR="00E0103F">
        <w:rPr>
          <w:bCs/>
        </w:rPr>
        <w:t>is provided by the power</w:t>
      </w:r>
      <w:r w:rsidRPr="001D1CA1">
        <w:rPr>
          <w:bCs/>
        </w:rPr>
        <w:t xml:space="preserve"> </w:t>
      </w:r>
      <w:r w:rsidR="00E0103F">
        <w:rPr>
          <w:bCs/>
        </w:rPr>
        <w:t xml:space="preserve">of </w:t>
      </w:r>
      <w:r w:rsidRPr="001D1CA1">
        <w:rPr>
          <w:bCs/>
        </w:rPr>
        <w:t>the COP within the UNFCCC</w:t>
      </w:r>
      <w:r w:rsidRPr="001D1CA1">
        <w:rPr>
          <w:rStyle w:val="FootnoteReference"/>
          <w:bCs/>
        </w:rPr>
        <w:footnoteReference w:id="138"/>
      </w:r>
      <w:r w:rsidRPr="001D1CA1">
        <w:rPr>
          <w:bCs/>
        </w:rPr>
        <w:t xml:space="preserve"> </w:t>
      </w:r>
      <w:r w:rsidR="00E0103F">
        <w:rPr>
          <w:bCs/>
        </w:rPr>
        <w:t>to adopt rules that provide</w:t>
      </w:r>
      <w:r w:rsidRPr="001D1CA1">
        <w:rPr>
          <w:bCs/>
        </w:rPr>
        <w:t xml:space="preserve"> overall guidance for the development of the REDD+ mechanism, by establishing common approaches and methodologies and committing states to taking certain actions in support of REDD+ implementation. Although decisions adopted by the UNFCCC COP are non-binding as far as the formal system of international law is concerned, they may still operate as </w:t>
      </w:r>
      <w:r w:rsidR="007D1A0D">
        <w:rPr>
          <w:bCs/>
        </w:rPr>
        <w:t>a form of international law within the constructivist account highlighted above.</w:t>
      </w:r>
      <w:r w:rsidRPr="001D1CA1">
        <w:rPr>
          <w:bCs/>
        </w:rPr>
        <w:t xml:space="preserve"> As Brunée explains, “</w:t>
      </w:r>
      <w:r w:rsidRPr="001D1CA1">
        <w:t>COPs and their subsidiary bodies, in providing stable forums for exchange and examination of problems at hand from different angles, are particularly well placed to facilitate the continuous interactional processes that allow shared understandings to evolve, and collective identities and concerns to be shaped.”</w:t>
      </w:r>
      <w:r w:rsidRPr="001D1CA1">
        <w:rPr>
          <w:rStyle w:val="FootnoteReference"/>
        </w:rPr>
        <w:footnoteReference w:id="139"/>
      </w:r>
      <w:r w:rsidRPr="001D1CA1">
        <w:t xml:space="preserve"> </w:t>
      </w:r>
      <w:r w:rsidRPr="001D1CA1">
        <w:rPr>
          <w:lang w:val="en-US"/>
        </w:rPr>
        <w:t>These shared understandings, when combined with the criteria and practice of legality, may generate a sense of legal commitment on the part of relevant actors.</w:t>
      </w:r>
    </w:p>
    <w:p w14:paraId="404F50C5" w14:textId="77777777" w:rsidR="00973A91" w:rsidRPr="001D1CA1" w:rsidRDefault="00973A91" w:rsidP="009F4955">
      <w:pPr>
        <w:rPr>
          <w:bCs/>
        </w:rPr>
      </w:pPr>
    </w:p>
    <w:p w14:paraId="3DDA722E" w14:textId="55B1760B" w:rsidR="00973A91" w:rsidRPr="001D1CA1" w:rsidRDefault="00973A91" w:rsidP="009F4955">
      <w:r w:rsidRPr="001D1CA1">
        <w:t xml:space="preserve">Another set of international </w:t>
      </w:r>
      <w:r w:rsidR="007D1A0D">
        <w:t>legal rules for</w:t>
      </w:r>
      <w:r w:rsidRPr="001D1CA1">
        <w:t xml:space="preserve"> REDD+ are provided by UN-REDD</w:t>
      </w:r>
      <w:r w:rsidRPr="001D1CA1">
        <w:rPr>
          <w:rStyle w:val="FootnoteReference"/>
        </w:rPr>
        <w:footnoteReference w:id="140"/>
      </w:r>
      <w:r w:rsidRPr="001D1CA1">
        <w:t xml:space="preserve"> and the World Bank.</w:t>
      </w:r>
      <w:r w:rsidRPr="001D1CA1">
        <w:rPr>
          <w:rStyle w:val="FootnoteReference"/>
        </w:rPr>
        <w:footnoteReference w:id="141"/>
      </w:r>
      <w:r w:rsidRPr="001D1CA1">
        <w:t xml:space="preserve"> Of particular relevance are the safeguard initiatives developed by these institutions to guide staff members working on REDD+ programming and projects. While these initiatives are internal administrative rules, they too may acquire the status of international legal rules through their incorporation into partnership and borrowing agreements that UN-REDD and the World Bank conclude their developing country partners. As Boisson de Chazournes explains in relation to the World Bank’s operational standards,</w:t>
      </w:r>
    </w:p>
    <w:p w14:paraId="005B15AC" w14:textId="77777777" w:rsidR="00973A91" w:rsidRPr="001D1CA1" w:rsidRDefault="00973A91" w:rsidP="009F4955">
      <w:pPr>
        <w:ind w:left="709" w:right="702"/>
        <w:rPr>
          <w:sz w:val="20"/>
          <w:szCs w:val="20"/>
        </w:rPr>
      </w:pPr>
    </w:p>
    <w:p w14:paraId="415B1B7C" w14:textId="77777777" w:rsidR="00973A91" w:rsidRPr="001D1CA1" w:rsidRDefault="00973A91" w:rsidP="009F4955">
      <w:pPr>
        <w:ind w:left="709" w:right="702"/>
        <w:rPr>
          <w:sz w:val="20"/>
          <w:szCs w:val="20"/>
        </w:rPr>
      </w:pPr>
      <w:r w:rsidRPr="001D1CA1">
        <w:rPr>
          <w:sz w:val="20"/>
          <w:szCs w:val="20"/>
        </w:rPr>
        <w:t xml:space="preserve">As policy instruments they do not have legal status </w:t>
      </w:r>
      <w:r w:rsidRPr="001D1CA1">
        <w:rPr>
          <w:i/>
          <w:sz w:val="20"/>
          <w:szCs w:val="20"/>
        </w:rPr>
        <w:t>per se</w:t>
      </w:r>
      <w:r w:rsidRPr="001D1CA1">
        <w:rPr>
          <w:sz w:val="20"/>
          <w:szCs w:val="20"/>
        </w:rPr>
        <w:t xml:space="preserve"> in the international legal system. They may enter the legal order, however, and be regulated by the law of treaties by being incorporated into a loan or credit agreement. The Operational Standards may also play a crucial role in fostering the emergence of new international practices that seek to promote sustainable development and in facilitating respect for international legal instruments negotiated and adopted in other arenas.</w:t>
      </w:r>
      <w:r w:rsidRPr="001D1CA1">
        <w:rPr>
          <w:rStyle w:val="FootnoteReference"/>
          <w:sz w:val="20"/>
          <w:szCs w:val="20"/>
        </w:rPr>
        <w:footnoteReference w:id="142"/>
      </w:r>
    </w:p>
    <w:p w14:paraId="5F3A4022" w14:textId="77777777" w:rsidR="00973A91" w:rsidRPr="001D1CA1" w:rsidRDefault="00973A91" w:rsidP="009F4955"/>
    <w:p w14:paraId="737A6212" w14:textId="140A6CF9" w:rsidR="00973A91" w:rsidRPr="001D1CA1" w:rsidRDefault="00973A91" w:rsidP="009F4955">
      <w:r w:rsidRPr="001D1CA1">
        <w:t>Moreover, in the case of the World Bank, the application of these standards is monitored by an independent evaluation units well as through the creation, on a case-by-case basis of an Inspection Panel which “decides on the applicability of relevant policies and procedures, interprets their content in deciding whether or not the Bank failed to comply with them, and clarifies their content through interpretation.”</w:t>
      </w:r>
      <w:r w:rsidRPr="001D1CA1">
        <w:rPr>
          <w:rStyle w:val="FootnoteReference"/>
        </w:rPr>
        <w:footnoteReference w:id="143"/>
      </w:r>
      <w:r w:rsidRPr="001D1CA1">
        <w:t xml:space="preserve"> In carrying out its work, an Inspection Panel can reach findings that publicize particular instances of non-compliance with the operational standards and can issue recommendations on steps to remedy such instances. Although the World Bank’s development and application of these standards is not without its critics, there is some evidence to suggest that it has been effective in shaping the behaviour of the World Bank and of developing country governments.</w:t>
      </w:r>
      <w:bookmarkStart w:id="40" w:name="_Ref195029979"/>
      <w:r w:rsidRPr="001D1CA1">
        <w:rPr>
          <w:rStyle w:val="FootnoteReference"/>
        </w:rPr>
        <w:footnoteReference w:id="144"/>
      </w:r>
      <w:bookmarkEnd w:id="40"/>
    </w:p>
    <w:p w14:paraId="1A1CDF79" w14:textId="099684F7" w:rsidR="00655EE5" w:rsidRPr="001D1CA1" w:rsidRDefault="007A2231" w:rsidP="009F4955">
      <w:pPr>
        <w:pStyle w:val="Heading3"/>
        <w:spacing w:line="240" w:lineRule="auto"/>
      </w:pPr>
      <w:r w:rsidRPr="001D1CA1">
        <w:t>Market Manipulation</w:t>
      </w:r>
    </w:p>
    <w:p w14:paraId="703D7D92" w14:textId="7977F69F" w:rsidR="00655EE5" w:rsidRPr="001D1CA1" w:rsidRDefault="008E586F" w:rsidP="009F4955">
      <w:r w:rsidRPr="001D1CA1">
        <w:rPr>
          <w:bCs/>
        </w:rPr>
        <w:t xml:space="preserve">Transnational policy actors </w:t>
      </w:r>
      <w:r w:rsidR="00F25A37" w:rsidRPr="001D1CA1">
        <w:rPr>
          <w:bCs/>
        </w:rPr>
        <w:t>can</w:t>
      </w:r>
      <w:r w:rsidRPr="001D1CA1">
        <w:t xml:space="preserve"> influence</w:t>
      </w:r>
      <w:r w:rsidR="00B04B15" w:rsidRPr="001D1CA1">
        <w:t xml:space="preserve"> </w:t>
      </w:r>
      <w:r w:rsidR="004D1ED5" w:rsidRPr="001D1CA1">
        <w:t>domestic policy-making</w:t>
      </w:r>
      <w:r w:rsidR="00B04B15" w:rsidRPr="001D1CA1">
        <w:t xml:space="preserve"> </w:t>
      </w:r>
      <w:r w:rsidRPr="001D1CA1">
        <w:t xml:space="preserve">by </w:t>
      </w:r>
      <w:r w:rsidR="00872225" w:rsidRPr="001D1CA1">
        <w:t>harnessing global</w:t>
      </w:r>
      <w:r w:rsidR="007A2231" w:rsidRPr="001D1CA1">
        <w:t xml:space="preserve"> market forces</w:t>
      </w:r>
      <w:r w:rsidR="00E74C5D" w:rsidRPr="001D1CA1">
        <w:t xml:space="preserve"> to</w:t>
      </w:r>
      <w:r w:rsidR="005B6EB2" w:rsidRPr="001D1CA1">
        <w:t xml:space="preserve"> </w:t>
      </w:r>
      <w:r w:rsidR="00C72C06" w:rsidRPr="001D1CA1">
        <w:t>change the economic incentives associated with particular policy preferences</w:t>
      </w:r>
      <w:r w:rsidR="009E567C" w:rsidRPr="001D1CA1">
        <w:t>.</w:t>
      </w:r>
      <w:r w:rsidRPr="001D1CA1">
        <w:rPr>
          <w:bCs/>
        </w:rPr>
        <w:t xml:space="preserve"> </w:t>
      </w:r>
      <w:r w:rsidR="00F074DF" w:rsidRPr="001D1CA1">
        <w:rPr>
          <w:bCs/>
        </w:rPr>
        <w:t>The existing l</w:t>
      </w:r>
      <w:r w:rsidR="000F3C96" w:rsidRPr="001D1CA1">
        <w:rPr>
          <w:bCs/>
        </w:rPr>
        <w:t xml:space="preserve">iterature identifies three types of </w:t>
      </w:r>
      <w:r w:rsidR="00F074DF" w:rsidRPr="001D1CA1">
        <w:rPr>
          <w:bCs/>
        </w:rPr>
        <w:t xml:space="preserve">strategies that transnational policy actors may use to </w:t>
      </w:r>
      <w:r w:rsidR="00096277" w:rsidRPr="001D1CA1">
        <w:rPr>
          <w:bCs/>
        </w:rPr>
        <w:t xml:space="preserve">do so. </w:t>
      </w:r>
      <w:r w:rsidR="00DE413F" w:rsidRPr="001D1CA1">
        <w:rPr>
          <w:bCs/>
        </w:rPr>
        <w:t>First, t</w:t>
      </w:r>
      <w:r w:rsidR="00B135CD" w:rsidRPr="001D1CA1">
        <w:rPr>
          <w:bCs/>
        </w:rPr>
        <w:t xml:space="preserve">ransnational policy actors </w:t>
      </w:r>
      <w:r w:rsidR="00C72C06" w:rsidRPr="001D1CA1">
        <w:rPr>
          <w:bCs/>
        </w:rPr>
        <w:t>can</w:t>
      </w:r>
      <w:r w:rsidR="009E1653" w:rsidRPr="001D1CA1">
        <w:rPr>
          <w:bCs/>
        </w:rPr>
        <w:t xml:space="preserve"> </w:t>
      </w:r>
      <w:r w:rsidR="000F3C96" w:rsidRPr="001D1CA1">
        <w:rPr>
          <w:bCs/>
        </w:rPr>
        <w:t>manipulate</w:t>
      </w:r>
      <w:r w:rsidR="00E511AC" w:rsidRPr="001D1CA1">
        <w:rPr>
          <w:bCs/>
        </w:rPr>
        <w:t xml:space="preserve"> access to the</w:t>
      </w:r>
      <w:r w:rsidR="00252902" w:rsidRPr="001D1CA1">
        <w:t xml:space="preserve"> </w:t>
      </w:r>
      <w:r w:rsidR="00C313C2" w:rsidRPr="001D1CA1">
        <w:t>key export markets</w:t>
      </w:r>
      <w:r w:rsidR="00252902" w:rsidRPr="001D1CA1">
        <w:t xml:space="preserve"> of the domestic jurisdictions that they seek to influence</w:t>
      </w:r>
      <w:r w:rsidR="00E511AC" w:rsidRPr="001D1CA1">
        <w:t xml:space="preserve"> through consumer boycotts</w:t>
      </w:r>
      <w:r w:rsidR="00E511AC" w:rsidRPr="001D1CA1">
        <w:rPr>
          <w:rStyle w:val="FootnoteReference"/>
        </w:rPr>
        <w:footnoteReference w:id="145"/>
      </w:r>
      <w:r w:rsidR="000816DA" w:rsidRPr="001D1CA1">
        <w:t xml:space="preserve"> and</w:t>
      </w:r>
      <w:r w:rsidR="00E511AC" w:rsidRPr="001D1CA1">
        <w:t xml:space="preserve"> </w:t>
      </w:r>
      <w:r w:rsidR="000F3C96" w:rsidRPr="001D1CA1">
        <w:t>changes in</w:t>
      </w:r>
      <w:r w:rsidR="000816DA" w:rsidRPr="001D1CA1">
        <w:t xml:space="preserve"> regulatory</w:t>
      </w:r>
      <w:r w:rsidR="000F3C96" w:rsidRPr="001D1CA1">
        <w:t xml:space="preserve"> standards</w:t>
      </w:r>
      <w:r w:rsidR="000816DA" w:rsidRPr="001D1CA1">
        <w:t>.</w:t>
      </w:r>
      <w:r w:rsidR="000F3C96" w:rsidRPr="001D1CA1">
        <w:rPr>
          <w:rStyle w:val="FootnoteReference"/>
        </w:rPr>
        <w:footnoteReference w:id="146"/>
      </w:r>
      <w:r w:rsidR="000F3C96" w:rsidRPr="001D1CA1">
        <w:t xml:space="preserve"> </w:t>
      </w:r>
      <w:r w:rsidR="00EE0786" w:rsidRPr="001D1CA1">
        <w:t>If domestic policy actors</w:t>
      </w:r>
      <w:r w:rsidR="007E4C81" w:rsidRPr="001D1CA1">
        <w:t xml:space="preserve"> are </w:t>
      </w:r>
      <w:r w:rsidR="00EE0786" w:rsidRPr="001D1CA1">
        <w:t>concerned with gaining or maintaining their country’s access to</w:t>
      </w:r>
      <w:r w:rsidR="00B55C9E" w:rsidRPr="001D1CA1">
        <w:t xml:space="preserve"> these</w:t>
      </w:r>
      <w:r w:rsidR="007E4C81" w:rsidRPr="001D1CA1">
        <w:t xml:space="preserve"> </w:t>
      </w:r>
      <w:r w:rsidR="00B55C9E" w:rsidRPr="001D1CA1">
        <w:t>import</w:t>
      </w:r>
      <w:r w:rsidR="00EE0786" w:rsidRPr="001D1CA1">
        <w:t xml:space="preserve"> </w:t>
      </w:r>
      <w:r w:rsidR="007E4C81" w:rsidRPr="001D1CA1">
        <w:t>market</w:t>
      </w:r>
      <w:r w:rsidR="00B55C9E" w:rsidRPr="001D1CA1">
        <w:t>s</w:t>
      </w:r>
      <w:r w:rsidR="00EE0786" w:rsidRPr="001D1CA1">
        <w:t>, they may seek to</w:t>
      </w:r>
      <w:r w:rsidR="007E4C81" w:rsidRPr="001D1CA1">
        <w:t xml:space="preserve"> a</w:t>
      </w:r>
      <w:r w:rsidR="00B55C9E" w:rsidRPr="001D1CA1">
        <w:t>lte</w:t>
      </w:r>
      <w:r w:rsidR="00D63B94" w:rsidRPr="001D1CA1">
        <w:t>r their policy preferences in accordance with the</w:t>
      </w:r>
      <w:r w:rsidR="00930D15" w:rsidRPr="001D1CA1">
        <w:t>se</w:t>
      </w:r>
      <w:r w:rsidR="00D63B94" w:rsidRPr="001D1CA1">
        <w:t xml:space="preserve"> boycotts and regulatory changes</w:t>
      </w:r>
      <w:r w:rsidR="00EE0786" w:rsidRPr="001D1CA1">
        <w:t>.</w:t>
      </w:r>
      <w:r w:rsidR="00B55C9E" w:rsidRPr="001D1CA1">
        <w:t xml:space="preserve"> </w:t>
      </w:r>
      <w:r w:rsidR="00D63B94" w:rsidRPr="001D1CA1">
        <w:t>Second</w:t>
      </w:r>
      <w:r w:rsidR="00A74A25" w:rsidRPr="001D1CA1">
        <w:t xml:space="preserve">, transnational policy actors can </w:t>
      </w:r>
      <w:r w:rsidR="00E511AC" w:rsidRPr="001D1CA1">
        <w:t xml:space="preserve">make </w:t>
      </w:r>
      <w:r w:rsidR="00D63B94" w:rsidRPr="001D1CA1">
        <w:t>enhanced or preferential access to</w:t>
      </w:r>
      <w:r w:rsidR="00E511AC" w:rsidRPr="001D1CA1">
        <w:t xml:space="preserve"> markets</w:t>
      </w:r>
      <w:r w:rsidR="00A74A25" w:rsidRPr="001D1CA1">
        <w:t xml:space="preserve"> </w:t>
      </w:r>
      <w:r w:rsidR="00D63B94" w:rsidRPr="001D1CA1">
        <w:t>conditional on policy changes in the domestic jurisdictions that they seek to influence</w:t>
      </w:r>
      <w:r w:rsidR="000816DA" w:rsidRPr="001D1CA1">
        <w:t>.</w:t>
      </w:r>
      <w:r w:rsidR="000816DA" w:rsidRPr="001D1CA1">
        <w:rPr>
          <w:rStyle w:val="FootnoteReference"/>
        </w:rPr>
        <w:footnoteReference w:id="147"/>
      </w:r>
      <w:r w:rsidR="00E8546C" w:rsidRPr="001D1CA1">
        <w:t xml:space="preserve"> Third, transnational policy actors may </w:t>
      </w:r>
      <w:r w:rsidR="004350B9" w:rsidRPr="001D1CA1">
        <w:t>support the development and diffusion of non-state-market driven systems (NSMDS)</w:t>
      </w:r>
      <w:r w:rsidR="00F933B5" w:rsidRPr="001D1CA1">
        <w:t xml:space="preserve"> that </w:t>
      </w:r>
      <w:bookmarkStart w:id="41" w:name="_Ref216939506"/>
      <w:r w:rsidR="008825D8" w:rsidRPr="001D1CA1">
        <w:t xml:space="preserve">establish </w:t>
      </w:r>
      <w:r w:rsidR="00AB2B60" w:rsidRPr="001D1CA1">
        <w:t xml:space="preserve">standards, </w:t>
      </w:r>
      <w:r w:rsidR="008825D8" w:rsidRPr="001D1CA1">
        <w:t>verify compliance</w:t>
      </w:r>
      <w:r w:rsidR="00AB2B60" w:rsidRPr="001D1CA1">
        <w:t>, and sanction non-compliance in particular industries</w:t>
      </w:r>
      <w:r w:rsidR="008825D8" w:rsidRPr="001D1CA1">
        <w:t>.</w:t>
      </w:r>
      <w:r w:rsidR="00944619" w:rsidRPr="001D1CA1">
        <w:t xml:space="preserve"> </w:t>
      </w:r>
      <w:r w:rsidR="00AB2B60" w:rsidRPr="001D1CA1">
        <w:t>NSMDS provide</w:t>
      </w:r>
      <w:r w:rsidR="004350B9" w:rsidRPr="001D1CA1">
        <w:t xml:space="preserve"> additional</w:t>
      </w:r>
      <w:r w:rsidR="00CB13E5" w:rsidRPr="001D1CA1">
        <w:t xml:space="preserve"> economic</w:t>
      </w:r>
      <w:r w:rsidR="004350B9" w:rsidRPr="001D1CA1">
        <w:t xml:space="preserve"> incentives for domestic policy actors to </w:t>
      </w:r>
      <w:bookmarkEnd w:id="41"/>
      <w:r w:rsidR="004350B9" w:rsidRPr="001D1CA1">
        <w:t>support a particu</w:t>
      </w:r>
      <w:r w:rsidR="00AB2B60" w:rsidRPr="001D1CA1">
        <w:t>lar set of regulatory standards, especially when their industries are dependent on export markets and susceptible to consumer boycotts.</w:t>
      </w:r>
      <w:r w:rsidR="00AB2B60" w:rsidRPr="001D1CA1">
        <w:rPr>
          <w:rStyle w:val="FootnoteReference"/>
        </w:rPr>
        <w:footnoteReference w:id="148"/>
      </w:r>
      <w:r w:rsidR="00FF40FB" w:rsidRPr="001D1CA1">
        <w:t xml:space="preserve"> </w:t>
      </w:r>
      <w:r w:rsidR="00F933B5" w:rsidRPr="001D1CA1">
        <w:t xml:space="preserve">Existing research suggests that </w:t>
      </w:r>
      <w:r w:rsidR="00FF40FB" w:rsidRPr="001D1CA1">
        <w:t xml:space="preserve">the effectiveness of market manipulation as a mode of transnational policy influence depends in large part on the extent and the nature of a </w:t>
      </w:r>
      <w:r w:rsidR="00D940E4" w:rsidRPr="001D1CA1">
        <w:t>domestic jurisdiction’s</w:t>
      </w:r>
      <w:r w:rsidR="00FF40FB" w:rsidRPr="001D1CA1">
        <w:t xml:space="preserve"> dependence on </w:t>
      </w:r>
      <w:r w:rsidR="00A04113" w:rsidRPr="001D1CA1">
        <w:t xml:space="preserve">foreign </w:t>
      </w:r>
      <w:r w:rsidR="00FF40FB" w:rsidRPr="001D1CA1">
        <w:t>markets</w:t>
      </w:r>
      <w:r w:rsidR="00764D42" w:rsidRPr="001D1CA1">
        <w:t xml:space="preserve"> in particular economic sectors.</w:t>
      </w:r>
      <w:r w:rsidR="00FF40FB" w:rsidRPr="001D1CA1">
        <w:rPr>
          <w:rStyle w:val="FootnoteReference"/>
        </w:rPr>
        <w:footnoteReference w:id="149"/>
      </w:r>
    </w:p>
    <w:p w14:paraId="605D7B7A" w14:textId="77777777" w:rsidR="00973A91" w:rsidRPr="001D1CA1" w:rsidRDefault="00973A91" w:rsidP="009F4955"/>
    <w:p w14:paraId="7D56F20D" w14:textId="50DCD9B0" w:rsidR="00973A91" w:rsidRPr="001D1CA1" w:rsidRDefault="00973A91" w:rsidP="009F4955">
      <w:r w:rsidRPr="001D1CA1">
        <w:rPr>
          <w:szCs w:val="20"/>
        </w:rPr>
        <w:t>Although it is not clear whether they all fit the designation of NSMD systems, there are numerous non-state forest certification schemes that have been developed that are being applied, or could be applied, to certify emissions reductions achieved through particular REDD+ projects and activities.</w:t>
      </w:r>
      <w:r w:rsidRPr="001D1CA1">
        <w:rPr>
          <w:rStyle w:val="FootnoteReference"/>
          <w:szCs w:val="20"/>
        </w:rPr>
        <w:footnoteReference w:id="150"/>
      </w:r>
      <w:r w:rsidRPr="001D1CA1">
        <w:rPr>
          <w:szCs w:val="20"/>
        </w:rPr>
        <w:t xml:space="preserve"> These standards are already being used within specific forest conservation and management projects receiving or seeking funding from public and private sources of REDD+ funding.</w:t>
      </w:r>
      <w:r w:rsidRPr="001D1CA1">
        <w:rPr>
          <w:rStyle w:val="FootnoteReference"/>
          <w:szCs w:val="20"/>
        </w:rPr>
        <w:footnoteReference w:id="151"/>
      </w:r>
      <w:r w:rsidRPr="001D1CA1">
        <w:rPr>
          <w:szCs w:val="20"/>
        </w:rPr>
        <w:t xml:space="preserve"> </w:t>
      </w:r>
      <w:r w:rsidRPr="001D1CA1">
        <w:t>Many of these certification schemes incorporate human rights standards and considerations. The CCBA standards for the validation of avoided deforestation and forest degradation projects that have been developed with the REDD+ framework in mind require demonstration that a project has not encroached on property rights, has obtained the free, prior, and informed consent of those whose rights are affected by a project, and does not entail involuntary relocation.</w:t>
      </w:r>
      <w:r w:rsidRPr="001D1CA1">
        <w:rPr>
          <w:rStyle w:val="FootnoteReference"/>
        </w:rPr>
        <w:footnoteReference w:id="152"/>
      </w:r>
      <w:r w:rsidRPr="001D1CA1">
        <w:t xml:space="preserve"> A more broadly applicable scheme, the FSC principles for forest stewardship, also includes principles that require the d</w:t>
      </w:r>
      <w:r w:rsidRPr="001D1CA1">
        <w:rPr>
          <w:bCs/>
        </w:rPr>
        <w:t>emonstration of  uncontested, clearly defined, long–term land tenure and use rights, the</w:t>
      </w:r>
      <w:r w:rsidRPr="001D1CA1">
        <w:t xml:space="preserve"> r</w:t>
      </w:r>
      <w:r w:rsidRPr="001D1CA1">
        <w:rPr>
          <w:bCs/>
        </w:rPr>
        <w:t xml:space="preserve">ecognition and respect of indigenous peoples' rights, the </w:t>
      </w:r>
      <w:r w:rsidRPr="001D1CA1">
        <w:t xml:space="preserve">maintenance </w:t>
      </w:r>
      <w:r w:rsidRPr="001D1CA1">
        <w:rPr>
          <w:bCs/>
        </w:rPr>
        <w:t xml:space="preserve">or enhancement of long-term social and economic well-being of forest workers and local communities and respect of worker’s rights, and </w:t>
      </w:r>
      <w:r w:rsidRPr="001D1CA1">
        <w:t>e</w:t>
      </w:r>
      <w:r w:rsidRPr="001D1CA1">
        <w:rPr>
          <w:bCs/>
        </w:rPr>
        <w:t>quitable use and sharing of benefits derived from the forest.</w:t>
      </w:r>
      <w:r w:rsidRPr="001D1CA1">
        <w:rPr>
          <w:rStyle w:val="FootnoteReference"/>
          <w:bCs/>
        </w:rPr>
        <w:footnoteReference w:id="153"/>
      </w:r>
    </w:p>
    <w:p w14:paraId="1AAFCEFE" w14:textId="7A23EE9B" w:rsidR="00655EE5" w:rsidRPr="001D1CA1" w:rsidRDefault="00211CC0" w:rsidP="009F4955">
      <w:pPr>
        <w:pStyle w:val="Heading3"/>
        <w:spacing w:line="240" w:lineRule="auto"/>
      </w:pPr>
      <w:r w:rsidRPr="001D1CA1">
        <w:rPr>
          <w:rFonts w:eastAsiaTheme="minorEastAsia" w:cstheme="minorBidi"/>
          <w:bCs/>
          <w:iCs w:val="0"/>
        </w:rPr>
        <w:t>M</w:t>
      </w:r>
      <w:r w:rsidR="00655EE5" w:rsidRPr="001D1CA1">
        <w:t>aterial Assistance</w:t>
      </w:r>
    </w:p>
    <w:p w14:paraId="02E80252" w14:textId="7A12C768" w:rsidR="00FA12DB" w:rsidRPr="001D1CA1" w:rsidRDefault="003F14EA" w:rsidP="009F4955">
      <w:r w:rsidRPr="001D1CA1">
        <w:rPr>
          <w:bCs/>
        </w:rPr>
        <w:t>Transnational policy actors may</w:t>
      </w:r>
      <w:r w:rsidRPr="001D1CA1">
        <w:t xml:space="preserve"> influ</w:t>
      </w:r>
      <w:r w:rsidR="00E66736" w:rsidRPr="001D1CA1">
        <w:t>ence domestic policy-making by delivering</w:t>
      </w:r>
      <w:r w:rsidR="005F234E" w:rsidRPr="001D1CA1">
        <w:t xml:space="preserve"> </w:t>
      </w:r>
      <w:r w:rsidR="0052361E" w:rsidRPr="001D1CA1">
        <w:t xml:space="preserve">material </w:t>
      </w:r>
      <w:r w:rsidR="00CB13E5" w:rsidRPr="001D1CA1">
        <w:t>assistance</w:t>
      </w:r>
      <w:r w:rsidR="008734FB" w:rsidRPr="001D1CA1">
        <w:t xml:space="preserve"> in the form of funding,</w:t>
      </w:r>
      <w:r w:rsidR="004A667E" w:rsidRPr="001D1CA1">
        <w:t xml:space="preserve"> technical assistance,</w:t>
      </w:r>
      <w:r w:rsidR="008734FB" w:rsidRPr="001D1CA1">
        <w:t xml:space="preserve"> training, and capacity-building</w:t>
      </w:r>
      <w:r w:rsidR="00CB13E5" w:rsidRPr="001D1CA1">
        <w:t xml:space="preserve"> </w:t>
      </w:r>
      <w:r w:rsidR="0052361E" w:rsidRPr="001D1CA1">
        <w:t>to</w:t>
      </w:r>
      <w:r w:rsidR="007627FB" w:rsidRPr="001D1CA1">
        <w:t xml:space="preserve"> domestic policy actors.</w:t>
      </w:r>
      <w:r w:rsidR="00764D42" w:rsidRPr="001D1CA1">
        <w:t xml:space="preserve"> Transnational policy actors</w:t>
      </w:r>
      <w:r w:rsidR="007627FB" w:rsidRPr="001D1CA1">
        <w:t xml:space="preserve"> may alter the</w:t>
      </w:r>
      <w:r w:rsidR="00655EE5" w:rsidRPr="001D1CA1">
        <w:t xml:space="preserve"> policy preferences</w:t>
      </w:r>
      <w:r w:rsidR="007627FB" w:rsidRPr="001D1CA1">
        <w:t xml:space="preserve"> of domestic </w:t>
      </w:r>
      <w:r w:rsidR="00764D42" w:rsidRPr="001D1CA1">
        <w:t xml:space="preserve">policy actors by </w:t>
      </w:r>
      <w:r w:rsidR="00BD2942" w:rsidRPr="001D1CA1">
        <w:t xml:space="preserve">making the </w:t>
      </w:r>
      <w:r w:rsidR="00655EE5" w:rsidRPr="001D1CA1">
        <w:t xml:space="preserve">provision of material benefits </w:t>
      </w:r>
      <w:r w:rsidR="00BD2942" w:rsidRPr="001D1CA1">
        <w:t>such as</w:t>
      </w:r>
      <w:r w:rsidR="00655EE5" w:rsidRPr="001D1CA1">
        <w:t xml:space="preserve"> development aid</w:t>
      </w:r>
      <w:r w:rsidR="00A04113" w:rsidRPr="001D1CA1">
        <w:t xml:space="preserve"> and loans</w:t>
      </w:r>
      <w:r w:rsidR="00655EE5" w:rsidRPr="001D1CA1">
        <w:t xml:space="preserve"> </w:t>
      </w:r>
      <w:r w:rsidR="00BD2942" w:rsidRPr="001D1CA1">
        <w:t>conditional</w:t>
      </w:r>
      <w:r w:rsidR="00A04113" w:rsidRPr="001D1CA1">
        <w:t xml:space="preserve"> on</w:t>
      </w:r>
      <w:r w:rsidR="00BD2942" w:rsidRPr="001D1CA1">
        <w:t xml:space="preserve"> th</w:t>
      </w:r>
      <w:r w:rsidR="00A04113" w:rsidRPr="001D1CA1">
        <w:t xml:space="preserve">e adoption of </w:t>
      </w:r>
      <w:r w:rsidR="004A667E" w:rsidRPr="001D1CA1">
        <w:t xml:space="preserve">particular </w:t>
      </w:r>
      <w:r w:rsidR="00A04113" w:rsidRPr="001D1CA1">
        <w:t>policy reforms.</w:t>
      </w:r>
      <w:r w:rsidR="00A04113" w:rsidRPr="001D1CA1">
        <w:rPr>
          <w:rStyle w:val="FootnoteReference"/>
        </w:rPr>
        <w:t xml:space="preserve"> </w:t>
      </w:r>
      <w:r w:rsidR="00A04113" w:rsidRPr="001D1CA1">
        <w:rPr>
          <w:rStyle w:val="FootnoteReference"/>
        </w:rPr>
        <w:footnoteReference w:id="154"/>
      </w:r>
      <w:r w:rsidR="00655EE5" w:rsidRPr="001D1CA1">
        <w:t xml:space="preserve"> Although the effectiveness of</w:t>
      </w:r>
      <w:r w:rsidR="004A667E" w:rsidRPr="001D1CA1">
        <w:t xml:space="preserve"> conditional forms of</w:t>
      </w:r>
      <w:r w:rsidR="00655EE5" w:rsidRPr="001D1CA1">
        <w:t xml:space="preserve"> </w:t>
      </w:r>
      <w:r w:rsidR="008734FB" w:rsidRPr="001D1CA1">
        <w:t>material assistance is debated by scholars</w:t>
      </w:r>
      <w:r w:rsidR="00655EE5" w:rsidRPr="001D1CA1">
        <w:t>, it remains a prominent feature of many bilateral, multilateral, and non-governmental governance arrangements in a variety of fields,</w:t>
      </w:r>
      <w:r w:rsidR="00655EE5" w:rsidRPr="001D1CA1">
        <w:rPr>
          <w:rStyle w:val="FootnoteReference"/>
        </w:rPr>
        <w:footnoteReference w:id="155"/>
      </w:r>
      <w:r w:rsidR="00655EE5" w:rsidRPr="001D1CA1">
        <w:t xml:space="preserve"> including conservation</w:t>
      </w:r>
      <w:r w:rsidR="00655EE5" w:rsidRPr="001D1CA1">
        <w:rPr>
          <w:rStyle w:val="FootnoteReference"/>
        </w:rPr>
        <w:footnoteReference w:id="156"/>
      </w:r>
      <w:r w:rsidR="00655EE5" w:rsidRPr="001D1CA1">
        <w:t xml:space="preserve"> and human rights.</w:t>
      </w:r>
      <w:r w:rsidR="00655EE5" w:rsidRPr="001D1CA1">
        <w:rPr>
          <w:rStyle w:val="FootnoteReference"/>
        </w:rPr>
        <w:footnoteReference w:id="157"/>
      </w:r>
      <w:r w:rsidR="000A2522" w:rsidRPr="001D1CA1">
        <w:t xml:space="preserve"> </w:t>
      </w:r>
      <w:r w:rsidR="00095AD7" w:rsidRPr="001D1CA1">
        <w:t>Existing studies in this mode of influence suggest that its effectiveness depends on the material leverage of transnational policy actors.</w:t>
      </w:r>
      <w:r w:rsidR="00095AD7" w:rsidRPr="001D1CA1">
        <w:rPr>
          <w:rStyle w:val="FootnoteReference"/>
        </w:rPr>
        <w:footnoteReference w:id="158"/>
      </w:r>
      <w:r w:rsidR="00095AD7" w:rsidRPr="001D1CA1">
        <w:t xml:space="preserve"> </w:t>
      </w:r>
      <w:r w:rsidR="001C2A23" w:rsidRPr="001D1CA1">
        <w:t>In addition, m</w:t>
      </w:r>
      <w:r w:rsidR="00B23C8F" w:rsidRPr="001D1CA1">
        <w:t xml:space="preserve">aterial assistance </w:t>
      </w:r>
      <w:r w:rsidR="00A04113" w:rsidRPr="001D1CA1">
        <w:t>may also alter the capabilities of domestic policy actors</w:t>
      </w:r>
      <w:r w:rsidR="004A667E" w:rsidRPr="001D1CA1">
        <w:t xml:space="preserve"> by providing</w:t>
      </w:r>
      <w:r w:rsidR="002C2202" w:rsidRPr="001D1CA1">
        <w:t xml:space="preserve"> them</w:t>
      </w:r>
      <w:r w:rsidR="00B23C8F" w:rsidRPr="001D1CA1">
        <w:t xml:space="preserve"> with</w:t>
      </w:r>
      <w:r w:rsidR="002C2202" w:rsidRPr="001D1CA1">
        <w:t xml:space="preserve"> </w:t>
      </w:r>
      <w:r w:rsidR="00B23C8F" w:rsidRPr="001D1CA1">
        <w:t>the technical skills, financial resources, and expert knowledge to empower them within domestic policy</w:t>
      </w:r>
      <w:r w:rsidR="005E7389" w:rsidRPr="001D1CA1">
        <w:t xml:space="preserve"> processes</w:t>
      </w:r>
      <w:r w:rsidR="00095AD7" w:rsidRPr="001D1CA1">
        <w:t>.</w:t>
      </w:r>
      <w:r w:rsidR="00095AD7" w:rsidRPr="001D1CA1">
        <w:rPr>
          <w:rStyle w:val="FootnoteReference"/>
        </w:rPr>
        <w:footnoteReference w:id="159"/>
      </w:r>
      <w:r w:rsidR="00095AD7" w:rsidRPr="001D1CA1">
        <w:t xml:space="preserve"> The </w:t>
      </w:r>
      <w:r w:rsidR="001C2A23" w:rsidRPr="001D1CA1">
        <w:t>effectiveness of this mode of influence</w:t>
      </w:r>
      <w:r w:rsidR="00095AD7" w:rsidRPr="001D1CA1">
        <w:t xml:space="preserve"> will therefore depend on the ability of domestic policy actors </w:t>
      </w:r>
      <w:r w:rsidR="001C2A23" w:rsidRPr="001D1CA1">
        <w:t>that benefit from such support to leverage these resources to achieve their policy preferences.</w:t>
      </w:r>
    </w:p>
    <w:p w14:paraId="28DD664A" w14:textId="77777777" w:rsidR="0002404A" w:rsidRPr="001D1CA1" w:rsidRDefault="0002404A" w:rsidP="009F4955"/>
    <w:p w14:paraId="2E3F855E" w14:textId="741DAD29" w:rsidR="00973A91" w:rsidRPr="005C51B2" w:rsidRDefault="007D1A0D" w:rsidP="009F4955">
      <w:pPr>
        <w:rPr>
          <w:bCs/>
        </w:rPr>
      </w:pPr>
      <w:r>
        <w:t xml:space="preserve">Transnational policy </w:t>
      </w:r>
      <w:r w:rsidR="00973A91" w:rsidRPr="001D1CA1">
        <w:t xml:space="preserve">actors </w:t>
      </w:r>
      <w:r>
        <w:t>engaged in the REDD+ readiness phase</w:t>
      </w:r>
      <w:r w:rsidR="00973A91" w:rsidRPr="001D1CA1">
        <w:t xml:space="preserve"> </w:t>
      </w:r>
      <w:r w:rsidR="005C400C">
        <w:t>provide material assistance to</w:t>
      </w:r>
      <w:r w:rsidR="00973A91" w:rsidRPr="001D1CA1">
        <w:t xml:space="preserve"> </w:t>
      </w:r>
      <w:r w:rsidR="005C51B2">
        <w:t xml:space="preserve">a range of </w:t>
      </w:r>
      <w:r w:rsidR="00973A91" w:rsidRPr="001D1CA1">
        <w:t xml:space="preserve">governmental and non-governmental </w:t>
      </w:r>
      <w:r w:rsidR="005C51B2">
        <w:t>REDD+ readiness activities being carried out in developing countries. This assistance is generally associated with some form of conditionality.</w:t>
      </w:r>
      <w:r w:rsidR="005C400C">
        <w:t xml:space="preserve"> </w:t>
      </w:r>
      <w:r w:rsidR="005C51B2">
        <w:rPr>
          <w:bCs/>
        </w:rPr>
        <w:t xml:space="preserve">For instance, in </w:t>
      </w:r>
      <w:r w:rsidR="00973A91" w:rsidRPr="001D1CA1">
        <w:rPr>
          <w:bCs/>
        </w:rPr>
        <w:t>order to access multilateral sources funding and support for REDD+ readiness efforts, developing country governments are required to develop and submit documents such as Readiness Preparation Proposals (RPP) for the FPCF and National Programme Documents (NPD) for the UN-REDD programme. These readiness documents include commitments to policy processes and specific policy reforms that include human rights language and considerations most notably relating to stakeholder participation, land and tenure rights, Indigenous rights, and access to benefits. The FPCF and UN-REDD provide comments on these documents and may suggest changes before funding can be accessed by governments. These commitments are also tracked and monitored by the FPCF and UN-REDD.</w:t>
      </w:r>
      <w:r w:rsidR="00973A91" w:rsidRPr="001D1CA1">
        <w:rPr>
          <w:rStyle w:val="FootnoteReference"/>
          <w:bCs/>
        </w:rPr>
        <w:footnoteReference w:id="160"/>
      </w:r>
      <w:r w:rsidR="00973A91" w:rsidRPr="001D1CA1">
        <w:rPr>
          <w:bCs/>
        </w:rPr>
        <w:t xml:space="preserve"> </w:t>
      </w:r>
    </w:p>
    <w:p w14:paraId="55EC2AE2" w14:textId="77777777" w:rsidR="00973A91" w:rsidRPr="001D1CA1" w:rsidRDefault="00973A91" w:rsidP="009F4955">
      <w:pPr>
        <w:rPr>
          <w:bCs/>
        </w:rPr>
      </w:pPr>
    </w:p>
    <w:p w14:paraId="603601BB" w14:textId="3189007F" w:rsidR="00973A91" w:rsidRPr="001D1CA1" w:rsidRDefault="005C51B2" w:rsidP="009F4955">
      <w:pPr>
        <w:rPr>
          <w:bCs/>
        </w:rPr>
      </w:pPr>
      <w:r>
        <w:rPr>
          <w:bCs/>
        </w:rPr>
        <w:t xml:space="preserve">Likewise, </w:t>
      </w:r>
      <w:r w:rsidR="00973A91" w:rsidRPr="001D1CA1">
        <w:rPr>
          <w:bCs/>
        </w:rPr>
        <w:t>Norway has incorporated human rights language into some of its bilateral REDD+ cooperation agreements. For instance, its MOU with Guyana recalls in the introduction that both states are “signatories to the United Nations Declaration on the Rights of Indigenous Peoples (UNDRIP)”</w:t>
      </w:r>
      <w:r w:rsidR="00973A91" w:rsidRPr="001D1CA1">
        <w:rPr>
          <w:rStyle w:val="FootnoteReference"/>
          <w:bCs/>
        </w:rPr>
        <w:footnoteReference w:id="161"/>
      </w:r>
      <w:r w:rsidR="00973A91" w:rsidRPr="001D1CA1">
        <w:rPr>
          <w:bCs/>
        </w:rPr>
        <w:t xml:space="preserve"> and accordingly provides that Guyana’s “systematic and transparent multi-stakeholder consultations will continue and evolve, and enable the participation of all affected and interested stakeholders at all stages of the REDD-plus/LCDS process; protect the rights of indigenous peoples […]”.</w:t>
      </w:r>
      <w:r w:rsidR="00973A91" w:rsidRPr="001D1CA1">
        <w:rPr>
          <w:rStyle w:val="FootnoteReference"/>
          <w:bCs/>
        </w:rPr>
        <w:footnoteReference w:id="162"/>
      </w:r>
      <w:r w:rsidR="00973A91" w:rsidRPr="001D1CA1">
        <w:rPr>
          <w:bCs/>
        </w:rPr>
        <w:t xml:space="preserve"> Its Joint Concept Note with Guyana goes further by specifying that the:</w:t>
      </w:r>
    </w:p>
    <w:p w14:paraId="12ED56C7" w14:textId="77777777" w:rsidR="00973A91" w:rsidRPr="001D1CA1" w:rsidRDefault="00973A91" w:rsidP="009F4955">
      <w:pPr>
        <w:ind w:left="709" w:right="702"/>
        <w:rPr>
          <w:bCs/>
          <w:sz w:val="20"/>
          <w:szCs w:val="20"/>
        </w:rPr>
      </w:pPr>
    </w:p>
    <w:p w14:paraId="3626BCBA" w14:textId="77777777" w:rsidR="00973A91" w:rsidRPr="001D1CA1" w:rsidRDefault="00973A91" w:rsidP="009F4955">
      <w:pPr>
        <w:ind w:left="709" w:right="702"/>
        <w:rPr>
          <w:bCs/>
          <w:sz w:val="20"/>
          <w:szCs w:val="20"/>
        </w:rPr>
      </w:pPr>
      <w:r w:rsidRPr="001D1CA1">
        <w:rPr>
          <w:bCs/>
          <w:sz w:val="20"/>
          <w:szCs w:val="20"/>
        </w:rPr>
        <w:t xml:space="preserve">The Constitution of Guyana guarantees the rights of indigenous peoples and other Guyanese to participation, engagement and decision making in all matters affecting their well-being. These rights will be respected and protected throughout Guyana’s REDD-plus and LCDS efforts. There shall be a mechanism to enable the effective participation of indigenous peoples and other local forest communities in planning and implementation of REDD-Plus strategy and activities.  </w:t>
      </w:r>
    </w:p>
    <w:p w14:paraId="0722FA66" w14:textId="77777777" w:rsidR="00973A91" w:rsidRPr="001D1CA1" w:rsidRDefault="00973A91" w:rsidP="009F4955">
      <w:pPr>
        <w:ind w:left="709" w:right="702"/>
        <w:rPr>
          <w:bCs/>
          <w:sz w:val="20"/>
          <w:szCs w:val="20"/>
        </w:rPr>
      </w:pPr>
    </w:p>
    <w:p w14:paraId="63ECD1D3" w14:textId="77777777" w:rsidR="00973A91" w:rsidRPr="001D1CA1" w:rsidRDefault="00973A91" w:rsidP="009F4955">
      <w:pPr>
        <w:ind w:left="709" w:right="702"/>
        <w:rPr>
          <w:bCs/>
          <w:sz w:val="20"/>
          <w:szCs w:val="20"/>
        </w:rPr>
      </w:pPr>
      <w:r w:rsidRPr="001D1CA1">
        <w:rPr>
          <w:bCs/>
          <w:sz w:val="20"/>
          <w:szCs w:val="20"/>
        </w:rPr>
        <w:t>Guyana’s policy is to enable indigenous communities to choose whether and how to opt in to the REDD-plus/LCDS process. This will take place only when communities wish to do so with their titled lands, in accordance with Guyana’s policy of respecting the free, prior and informed consent of these communities.</w:t>
      </w:r>
      <w:r w:rsidRPr="001D1CA1">
        <w:rPr>
          <w:rStyle w:val="FootnoteReference"/>
          <w:bCs/>
          <w:sz w:val="20"/>
          <w:szCs w:val="20"/>
        </w:rPr>
        <w:footnoteReference w:id="163"/>
      </w:r>
      <w:r w:rsidRPr="001D1CA1">
        <w:rPr>
          <w:bCs/>
          <w:sz w:val="20"/>
          <w:szCs w:val="20"/>
        </w:rPr>
        <w:t xml:space="preserve"> </w:t>
      </w:r>
    </w:p>
    <w:p w14:paraId="0F3A8364" w14:textId="77777777" w:rsidR="00973A91" w:rsidRPr="001D1CA1" w:rsidRDefault="00973A91" w:rsidP="009F4955">
      <w:pPr>
        <w:rPr>
          <w:bCs/>
        </w:rPr>
      </w:pPr>
    </w:p>
    <w:p w14:paraId="52CF50D8" w14:textId="77777777" w:rsidR="00973A91" w:rsidRPr="001D1CA1" w:rsidRDefault="00973A91" w:rsidP="009F4955">
      <w:pPr>
        <w:rPr>
          <w:bCs/>
        </w:rPr>
      </w:pPr>
      <w:r w:rsidRPr="001D1CA1">
        <w:rPr>
          <w:bCs/>
        </w:rPr>
        <w:t>As a result, human rights issues and concerns are tracked by NORAD in its efforts in different REDD+ partner countries.</w:t>
      </w:r>
      <w:r w:rsidRPr="001D1CA1">
        <w:rPr>
          <w:rStyle w:val="FootnoteReference"/>
          <w:bCs/>
        </w:rPr>
        <w:footnoteReference w:id="164"/>
      </w:r>
    </w:p>
    <w:p w14:paraId="7FC6F96A" w14:textId="77777777" w:rsidR="00973A91" w:rsidRPr="001D1CA1" w:rsidRDefault="00973A91" w:rsidP="009F4955"/>
    <w:p w14:paraId="0F5B6354" w14:textId="77777777" w:rsidR="00973A91" w:rsidRPr="001D1CA1" w:rsidRDefault="00973A91" w:rsidP="009F4955"/>
    <w:p w14:paraId="05698AB5" w14:textId="018D9665" w:rsidR="00973A91" w:rsidRPr="001D1CA1" w:rsidRDefault="00973A91" w:rsidP="009F4955">
      <w:pPr>
        <w:rPr>
          <w:b/>
          <w:sz w:val="26"/>
          <w:szCs w:val="26"/>
        </w:rPr>
      </w:pPr>
      <w:r w:rsidRPr="001D1CA1">
        <w:rPr>
          <w:b/>
          <w:sz w:val="26"/>
          <w:szCs w:val="26"/>
        </w:rPr>
        <w:t>5. Conclusion</w:t>
      </w:r>
    </w:p>
    <w:p w14:paraId="3CFAEE1D" w14:textId="77777777" w:rsidR="00973A91" w:rsidRPr="001D1CA1" w:rsidRDefault="00973A91" w:rsidP="009F4955"/>
    <w:p w14:paraId="09E6D28C" w14:textId="36377810" w:rsidR="009E1653" w:rsidRPr="001D1CA1" w:rsidRDefault="009E1653" w:rsidP="009F4955">
      <w:r w:rsidRPr="001D1CA1">
        <w:t>By identifying a range of modes of influence that draw on constructivist and rationalist explanations and</w:t>
      </w:r>
      <w:r w:rsidR="005C51B2">
        <w:t xml:space="preserve"> operate at various levels, the analytical framework set out above provides</w:t>
      </w:r>
      <w:r w:rsidRPr="001D1CA1">
        <w:t xml:space="preserve"> a </w:t>
      </w:r>
      <w:r w:rsidR="00EC5D84">
        <w:t>promising</w:t>
      </w:r>
      <w:r w:rsidRPr="001D1CA1">
        <w:t xml:space="preserve"> approach for studying the role, activities, and impact of transnational policy actors</w:t>
      </w:r>
      <w:r w:rsidR="00BA59C8">
        <w:t xml:space="preserve"> in the REDD+ readiness efforts of developing countries</w:t>
      </w:r>
      <w:r w:rsidR="00EC5D84">
        <w:t>. To begin with, it</w:t>
      </w:r>
      <w:r w:rsidRPr="001D1CA1">
        <w:t xml:space="preserve"> has the advantage of recognizing that different tran</w:t>
      </w:r>
      <w:r w:rsidR="00BA59C8">
        <w:t>snational policy actors may make</w:t>
      </w:r>
      <w:r w:rsidRPr="001D1CA1">
        <w:t xml:space="preserve"> use of more than one mode of influence and thus avoids essentialist accounts that associate certain types of actors with particular modes of influence.</w:t>
      </w:r>
      <w:r w:rsidRPr="001D1CA1">
        <w:rPr>
          <w:rStyle w:val="FootnoteReference"/>
        </w:rPr>
        <w:footnoteReference w:id="165"/>
      </w:r>
      <w:r w:rsidRPr="001D1CA1">
        <w:t xml:space="preserve"> In addition, while the starting-point of this framework lies with transnational policy actors, it also acknowledges the </w:t>
      </w:r>
      <w:r w:rsidR="001C2A23" w:rsidRPr="001D1CA1">
        <w:t xml:space="preserve">critical </w:t>
      </w:r>
      <w:r w:rsidRPr="001D1CA1">
        <w:t xml:space="preserve">role </w:t>
      </w:r>
      <w:r w:rsidR="001C2A23" w:rsidRPr="001D1CA1">
        <w:t>played by domestic actors and structures</w:t>
      </w:r>
      <w:r w:rsidRPr="001D1CA1">
        <w:t xml:space="preserve"> in transnational policy processes.</w:t>
      </w:r>
      <w:r w:rsidRPr="001D1CA1">
        <w:rPr>
          <w:rStyle w:val="FootnoteReference"/>
        </w:rPr>
        <w:footnoteReference w:id="166"/>
      </w:r>
      <w:r w:rsidRPr="001D1CA1">
        <w:t xml:space="preserve"> Finally, this framework makes it possible to study how different modes of influence may interact with one another in synergistic as well as contradictory ways in a given transnational policy process across multiple levels.</w:t>
      </w:r>
      <w:r w:rsidRPr="001D1CA1">
        <w:rPr>
          <w:vertAlign w:val="superscript"/>
        </w:rPr>
        <w:footnoteReference w:id="167"/>
      </w:r>
      <w:r w:rsidRPr="001D1CA1">
        <w:t xml:space="preserve"> </w:t>
      </w:r>
    </w:p>
    <w:p w14:paraId="281CBFF6" w14:textId="77777777" w:rsidR="00E91DE1" w:rsidRDefault="00E91DE1" w:rsidP="009F4955"/>
    <w:p w14:paraId="287CD901" w14:textId="77777777" w:rsidR="00585F00" w:rsidRPr="001D1CA1" w:rsidRDefault="00EC5D84" w:rsidP="00585F00">
      <w:r w:rsidRPr="001D1CA1">
        <w:rPr>
          <w:rFonts w:cs="Times New Roman"/>
        </w:rPr>
        <w:t>A</w:t>
      </w:r>
      <w:r>
        <w:rPr>
          <w:rFonts w:cs="Times New Roman"/>
        </w:rPr>
        <w:t>t this stage, this analytical</w:t>
      </w:r>
      <w:r w:rsidRPr="001D1CA1">
        <w:rPr>
          <w:rFonts w:cs="Times New Roman"/>
        </w:rPr>
        <w:t xml:space="preserve"> framework awaits further refinement and empirical </w:t>
      </w:r>
      <w:r>
        <w:rPr>
          <w:rFonts w:cs="Times New Roman"/>
        </w:rPr>
        <w:t xml:space="preserve">research </w:t>
      </w:r>
      <w:r w:rsidRPr="001D1CA1">
        <w:rPr>
          <w:rFonts w:cs="Times New Roman"/>
        </w:rPr>
        <w:t xml:space="preserve">focusing on the national processes and outcomes of the REDD+ readiness phase. </w:t>
      </w:r>
      <w:r w:rsidR="00585F00">
        <w:rPr>
          <w:rFonts w:cs="Times New Roman"/>
        </w:rPr>
        <w:t xml:space="preserve"> </w:t>
      </w:r>
      <w:r w:rsidRPr="001D1CA1">
        <w:rPr>
          <w:rFonts w:cs="Times New Roman"/>
        </w:rPr>
        <w:t>In my on-going research in this area, I use a</w:t>
      </w:r>
      <w:r>
        <w:rPr>
          <w:rFonts w:cs="Times New Roman"/>
          <w:bCs/>
        </w:rPr>
        <w:t xml:space="preserve"> combination of process-tracing and legal analysis to study the role and </w:t>
      </w:r>
      <w:r w:rsidRPr="001D1CA1">
        <w:t xml:space="preserve">influence of transnational policy actors </w:t>
      </w:r>
      <w:r>
        <w:t>on</w:t>
      </w:r>
      <w:r w:rsidRPr="001D1CA1">
        <w:t xml:space="preserve"> REDD+ readiness policy development in </w:t>
      </w:r>
      <w:r w:rsidR="00585F00">
        <w:t>two early and</w:t>
      </w:r>
      <w:r w:rsidRPr="001D1CA1">
        <w:rPr>
          <w:rFonts w:cs="Times New Roman"/>
          <w:bCs/>
        </w:rPr>
        <w:t xml:space="preserve"> active pa</w:t>
      </w:r>
      <w:r w:rsidR="00585F00">
        <w:rPr>
          <w:rFonts w:cs="Times New Roman"/>
          <w:bCs/>
        </w:rPr>
        <w:t xml:space="preserve">rticipants in REDD+: Indonesia </w:t>
      </w:r>
      <w:r w:rsidRPr="001D1CA1">
        <w:rPr>
          <w:rFonts w:cs="Times New Roman"/>
          <w:bCs/>
        </w:rPr>
        <w:t xml:space="preserve">and Tanzania. </w:t>
      </w:r>
      <w:r w:rsidR="00585F00">
        <w:t>This research should make</w:t>
      </w:r>
      <w:r w:rsidR="00585F00" w:rsidRPr="001D1CA1">
        <w:t xml:space="preserve"> a valuable contribution to the broader research on the legal, policy, and governance aspects of REDD+, which is an expanding area of inquiry for both academics</w:t>
      </w:r>
      <w:r w:rsidR="00585F00" w:rsidRPr="001D1CA1">
        <w:rPr>
          <w:rStyle w:val="FootnoteReference"/>
        </w:rPr>
        <w:footnoteReference w:id="168"/>
      </w:r>
      <w:r w:rsidR="00585F00" w:rsidRPr="001D1CA1">
        <w:t xml:space="preserve"> and experts in the field.</w:t>
      </w:r>
      <w:r w:rsidR="00585F00" w:rsidRPr="001D1CA1">
        <w:rPr>
          <w:rStyle w:val="FootnoteReference"/>
        </w:rPr>
        <w:footnoteReference w:id="169"/>
      </w:r>
      <w:r w:rsidR="00585F00" w:rsidRPr="001D1CA1">
        <w:t xml:space="preserve"> An in-depth study of the role of transnational policy actors in the REDD+ readiness phase also provides an opportunity to reflect on the nature and reach of the transnational climate regime from which REDD+ emanates.</w:t>
      </w:r>
      <w:r w:rsidR="00585F00" w:rsidRPr="001D1CA1">
        <w:rPr>
          <w:rStyle w:val="FootnoteReference"/>
        </w:rPr>
        <w:footnoteReference w:id="170"/>
      </w:r>
      <w:r w:rsidR="00585F00" w:rsidRPr="001D1CA1">
        <w:t xml:space="preserve"> My findings will be all the more germane to on-going policy and scholarly debates since I focus on three countries </w:t>
      </w:r>
      <w:r w:rsidR="00585F00">
        <w:t xml:space="preserve">– Indonesia </w:t>
      </w:r>
      <w:r w:rsidR="00585F00" w:rsidRPr="001D1CA1">
        <w:t>and Tanzania – that are global and regional forerunners for the domestic operationalization of REDD+.</w:t>
      </w:r>
    </w:p>
    <w:p w14:paraId="1DEDD764" w14:textId="77777777" w:rsidR="00585F00" w:rsidRDefault="00585F00" w:rsidP="00EC5D84">
      <w:pPr>
        <w:rPr>
          <w:rFonts w:cs="Times New Roman"/>
          <w:bCs/>
        </w:rPr>
      </w:pPr>
    </w:p>
    <w:p w14:paraId="34FD1372" w14:textId="77777777" w:rsidR="00EC5D84" w:rsidRPr="001D1CA1" w:rsidRDefault="00EC5D84" w:rsidP="00585F00">
      <w:r w:rsidRPr="001D1CA1">
        <w:t>I also aspire to make broader interdisciplinary contributions to a number of relevant fields and literatures. First, the REDD+ readiness phase provides a rich empirical environment for contributing to the literature on transnational policy influence and diffusion, including by providing a rare opportunity to study the simultaneous operation of multiple causal mechanisms within a single transnational policy process.</w:t>
      </w:r>
      <w:r w:rsidRPr="001D1CA1">
        <w:rPr>
          <w:rStyle w:val="FootnoteReference"/>
        </w:rPr>
        <w:footnoteReference w:id="171"/>
      </w:r>
      <w:r w:rsidRPr="001D1CA1">
        <w:t xml:space="preserve"> In addition, due to its specific focus on the implications of the role and influence of transnational policy actors on the rights of Indigenous and forest-dependent communities, I will also consider important ethical questions that are raised, but often neglected, in other studies of transnational policy influence</w:t>
      </w:r>
      <w:r w:rsidRPr="001D1CA1">
        <w:rPr>
          <w:rStyle w:val="FootnoteReference"/>
        </w:rPr>
        <w:footnoteReference w:id="172"/>
      </w:r>
      <w:r w:rsidRPr="001D1CA1">
        <w:t xml:space="preserve"> and diffusion.</w:t>
      </w:r>
      <w:r w:rsidRPr="001D1CA1">
        <w:rPr>
          <w:rStyle w:val="FootnoteReference"/>
        </w:rPr>
        <w:footnoteReference w:id="173"/>
      </w:r>
      <w:r w:rsidRPr="001D1CA1">
        <w:t xml:space="preserve"> </w:t>
      </w:r>
    </w:p>
    <w:p w14:paraId="5BB5FC3C" w14:textId="77777777" w:rsidR="00585F00" w:rsidRDefault="00585F00" w:rsidP="00585F00"/>
    <w:p w14:paraId="6BDFDD12" w14:textId="77777777" w:rsidR="00EC5D84" w:rsidRPr="001D1CA1" w:rsidRDefault="00EC5D84" w:rsidP="00585F00">
      <w:r w:rsidRPr="001D1CA1">
        <w:t>Second, I have the opportunity to chart new ground to study categories of rights that have tended to be neglected by political scientists, particularly economic, social, and cultural rights and Indigenous rights.</w:t>
      </w:r>
      <w:r w:rsidRPr="001D1CA1">
        <w:rPr>
          <w:rStyle w:val="FootnoteReference"/>
        </w:rPr>
        <w:footnoteReference w:id="174"/>
      </w:r>
      <w:r w:rsidRPr="001D1CA1">
        <w:t xml:space="preserve"> As a result, my work may provide a unique perspective on the ways through which transnational policy processes may affect human rights outcomes that is very different than the one adopted in much of the current political science scholarship on international human rights law, which tends to study civil and political rights and focus almost exclusively on the causal mechanisms and dynamics associated with the ratification and enforcement of treaties.</w:t>
      </w:r>
      <w:bookmarkStart w:id="42" w:name="_Ref194909253"/>
      <w:r w:rsidRPr="001D1CA1">
        <w:rPr>
          <w:vertAlign w:val="superscript"/>
        </w:rPr>
        <w:footnoteReference w:id="175"/>
      </w:r>
      <w:bookmarkEnd w:id="42"/>
      <w:r w:rsidRPr="001D1CA1">
        <w:t xml:space="preserve"> </w:t>
      </w:r>
    </w:p>
    <w:p w14:paraId="6F9A7E3C" w14:textId="77777777" w:rsidR="00585F00" w:rsidRDefault="00585F00" w:rsidP="00585F00"/>
    <w:p w14:paraId="0630E185" w14:textId="77777777" w:rsidR="00EC5D84" w:rsidRPr="001D1CA1" w:rsidRDefault="00EC5D84" w:rsidP="00585F00">
      <w:r w:rsidRPr="001D1CA1">
        <w:t>Finally, my research will also be relevant to legal and policy scholarship on the intersections of human rights and the environment, which has suffered from a lack of empiricism and has tended to adopt one-dimensional assumptions about the need for environmental policy-making and governance to draw on the language, norms, and machinery of human rights in order to achieve legal, social, and policy change.</w:t>
      </w:r>
      <w:r w:rsidRPr="001D1CA1">
        <w:rPr>
          <w:vertAlign w:val="superscript"/>
        </w:rPr>
        <w:footnoteReference w:id="176"/>
      </w:r>
      <w:r w:rsidRPr="001D1CA1">
        <w:t xml:space="preserve"> </w:t>
      </w:r>
      <w:r w:rsidRPr="001D1CA1">
        <w:rPr>
          <w:bCs/>
        </w:rPr>
        <w:t xml:space="preserve">Whereas most legal scholars continue to view human rights as a source of inspiration and change for the environmental field, I want to explore </w:t>
      </w:r>
      <w:r w:rsidRPr="001D1CA1">
        <w:t>how the interactions between these two areas of law and policy may create indirect and unexpected, yet powerful pathways of policy change</w:t>
      </w:r>
      <w:r w:rsidRPr="001D1CA1">
        <w:rPr>
          <w:vertAlign w:val="superscript"/>
        </w:rPr>
        <w:footnoteReference w:id="177"/>
      </w:r>
      <w:r w:rsidRPr="001D1CA1">
        <w:t xml:space="preserve"> – with significant implications for both environmental governance and human rights.</w:t>
      </w:r>
    </w:p>
    <w:p w14:paraId="1C486709" w14:textId="77777777" w:rsidR="00EC5D84" w:rsidRPr="001D1CA1" w:rsidRDefault="00EC5D84" w:rsidP="00EC5D84">
      <w:pPr>
        <w:pStyle w:val="Heading2"/>
        <w:rPr>
          <w:sz w:val="32"/>
          <w:szCs w:val="32"/>
        </w:rPr>
      </w:pPr>
    </w:p>
    <w:p w14:paraId="6256E153" w14:textId="77777777" w:rsidR="00EC5D84" w:rsidRDefault="00EC5D84" w:rsidP="009F4955"/>
    <w:p w14:paraId="2D77DD6C" w14:textId="77777777" w:rsidR="00E91DE1" w:rsidRPr="001D1CA1" w:rsidRDefault="00E91DE1" w:rsidP="009F4955">
      <w:pPr>
        <w:tabs>
          <w:tab w:val="left" w:pos="3800"/>
        </w:tabs>
        <w:rPr>
          <w:rFonts w:cs="Times New Roman"/>
        </w:rPr>
      </w:pPr>
    </w:p>
    <w:p w14:paraId="2CFAD2DB" w14:textId="77777777" w:rsidR="00E91DE1" w:rsidRPr="001D1CA1" w:rsidRDefault="00E91DE1" w:rsidP="009F4955">
      <w:pPr>
        <w:tabs>
          <w:tab w:val="left" w:pos="3800"/>
        </w:tabs>
        <w:rPr>
          <w:rFonts w:cs="Times New Roman"/>
        </w:rPr>
      </w:pPr>
    </w:p>
    <w:p w14:paraId="084DA5D5" w14:textId="77777777" w:rsidR="00681B16" w:rsidRPr="001D1CA1" w:rsidRDefault="00681B16" w:rsidP="009F4955">
      <w:pPr>
        <w:contextualSpacing w:val="0"/>
        <w:jc w:val="left"/>
        <w:rPr>
          <w:rFonts w:eastAsiaTheme="majorEastAsia" w:cstheme="majorBidi"/>
          <w:b/>
          <w:bCs/>
          <w:smallCaps/>
          <w:sz w:val="32"/>
          <w:szCs w:val="32"/>
        </w:rPr>
      </w:pPr>
    </w:p>
    <w:sectPr w:rsidR="00681B16" w:rsidRPr="001D1CA1" w:rsidSect="000C4E19">
      <w:footerReference w:type="even" r:id="rId8"/>
      <w:footerReference w:type="default" r:id="rId9"/>
      <w:pgSz w:w="12240" w:h="15840"/>
      <w:pgMar w:top="1440" w:right="1797" w:bottom="1440"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3B541" w14:textId="77777777" w:rsidR="00C34B5F" w:rsidRDefault="00C34B5F" w:rsidP="003B7838">
      <w:r>
        <w:separator/>
      </w:r>
    </w:p>
    <w:p w14:paraId="42FD371C" w14:textId="77777777" w:rsidR="00C34B5F" w:rsidRDefault="00C34B5F"/>
  </w:endnote>
  <w:endnote w:type="continuationSeparator" w:id="0">
    <w:p w14:paraId="0B32929C" w14:textId="77777777" w:rsidR="00C34B5F" w:rsidRDefault="00C34B5F" w:rsidP="003B7838">
      <w:r>
        <w:continuationSeparator/>
      </w:r>
    </w:p>
    <w:p w14:paraId="2E2F2BA3" w14:textId="77777777" w:rsidR="00C34B5F" w:rsidRDefault="00C34B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89CD7" w14:textId="77777777" w:rsidR="002E53A9" w:rsidRDefault="002E53A9" w:rsidP="004E6A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69E4">
      <w:rPr>
        <w:rStyle w:val="PageNumber"/>
        <w:noProof/>
      </w:rPr>
      <w:t>28</w:t>
    </w:r>
    <w:r>
      <w:rPr>
        <w:rStyle w:val="PageNumber"/>
      </w:rPr>
      <w:fldChar w:fldCharType="end"/>
    </w:r>
  </w:p>
  <w:p w14:paraId="39F5D865" w14:textId="77777777" w:rsidR="002E53A9" w:rsidRDefault="002E53A9" w:rsidP="00245F66">
    <w:pPr>
      <w:pStyle w:val="Footer"/>
      <w:ind w:right="360"/>
    </w:pPr>
  </w:p>
  <w:p w14:paraId="294C5769" w14:textId="77777777" w:rsidR="002E53A9" w:rsidRDefault="002E53A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85D49" w14:textId="77777777" w:rsidR="002E53A9" w:rsidRDefault="002E53A9" w:rsidP="004E6A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1733">
      <w:rPr>
        <w:rStyle w:val="PageNumber"/>
        <w:noProof/>
      </w:rPr>
      <w:t>1</w:t>
    </w:r>
    <w:r>
      <w:rPr>
        <w:rStyle w:val="PageNumber"/>
      </w:rPr>
      <w:fldChar w:fldCharType="end"/>
    </w:r>
  </w:p>
  <w:p w14:paraId="670F98E7" w14:textId="77777777" w:rsidR="002E53A9" w:rsidRDefault="002E53A9" w:rsidP="00245F66">
    <w:pPr>
      <w:pStyle w:val="Footer"/>
      <w:ind w:right="360"/>
    </w:pPr>
  </w:p>
  <w:p w14:paraId="2E1743E7" w14:textId="77777777" w:rsidR="002E53A9" w:rsidRDefault="002E53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39FA8" w14:textId="77777777" w:rsidR="00C34B5F" w:rsidRDefault="00C34B5F" w:rsidP="003B7838">
      <w:r>
        <w:separator/>
      </w:r>
    </w:p>
    <w:p w14:paraId="7C10C871" w14:textId="77777777" w:rsidR="00C34B5F" w:rsidRDefault="00C34B5F"/>
  </w:footnote>
  <w:footnote w:type="continuationSeparator" w:id="0">
    <w:p w14:paraId="6D33D41D" w14:textId="77777777" w:rsidR="00C34B5F" w:rsidRDefault="00C34B5F" w:rsidP="003B7838">
      <w:r>
        <w:continuationSeparator/>
      </w:r>
    </w:p>
    <w:p w14:paraId="785D50F8" w14:textId="77777777" w:rsidR="00C34B5F" w:rsidRDefault="00C34B5F"/>
  </w:footnote>
  <w:footnote w:id="1">
    <w:p w14:paraId="614E5D3F" w14:textId="6D77D760" w:rsidR="002E53A9" w:rsidRPr="001D1CA1" w:rsidRDefault="002E53A9" w:rsidP="001D1CA1">
      <w:pPr>
        <w:pStyle w:val="FootnoteText"/>
        <w:rPr>
          <w:szCs w:val="20"/>
        </w:rPr>
      </w:pPr>
      <w:r w:rsidRPr="001D1CA1">
        <w:rPr>
          <w:rStyle w:val="FootnoteReference"/>
          <w:sz w:val="20"/>
          <w:szCs w:val="20"/>
        </w:rPr>
        <w:t>*</w:t>
      </w:r>
      <w:r w:rsidRPr="001D1CA1">
        <w:rPr>
          <w:szCs w:val="20"/>
        </w:rPr>
        <w:t xml:space="preserve"> PhD Candidate, Trudeau Scholar &amp; SSHRC Doctoral Fellow, Yale University, School of Forestry &amp; Environmental Studies; and Program Coordinator, Governance, Environment &amp; Markets Initiative at Yale. E-mail: sebastien.jodoin@yale.edu.</w:t>
      </w:r>
    </w:p>
  </w:footnote>
  <w:footnote w:id="2">
    <w:p w14:paraId="15D38329" w14:textId="77777777" w:rsidR="002E53A9" w:rsidRPr="001D1CA1" w:rsidRDefault="002E53A9" w:rsidP="001D1CA1">
      <w:pPr>
        <w:pStyle w:val="FootnoteText"/>
        <w:rPr>
          <w:szCs w:val="20"/>
          <w:lang w:val="en-GB"/>
        </w:rPr>
      </w:pPr>
      <w:r w:rsidRPr="001D1CA1">
        <w:rPr>
          <w:rStyle w:val="FootnoteReference"/>
          <w:sz w:val="20"/>
          <w:szCs w:val="20"/>
          <w:lang w:val="en-GB"/>
        </w:rPr>
        <w:footnoteRef/>
      </w:r>
      <w:r w:rsidRPr="001D1CA1">
        <w:rPr>
          <w:szCs w:val="20"/>
          <w:lang w:val="en-GB"/>
        </w:rPr>
        <w:t xml:space="preserve"> </w:t>
      </w:r>
      <w:r w:rsidRPr="001D1CA1">
        <w:rPr>
          <w:i/>
          <w:szCs w:val="20"/>
          <w:lang w:val="en-GB"/>
        </w:rPr>
        <w:t>United Nations Framework Convention on Climate Change</w:t>
      </w:r>
      <w:r w:rsidRPr="001D1CA1">
        <w:rPr>
          <w:szCs w:val="20"/>
          <w:lang w:val="en-GB"/>
        </w:rPr>
        <w:t>, 9 May 1992, 1771 U.N.T.S. 107, entered into force 21 March 1994, art. 4(1)(d).</w:t>
      </w:r>
    </w:p>
  </w:footnote>
  <w:footnote w:id="3">
    <w:p w14:paraId="68A39AD8" w14:textId="77777777" w:rsidR="002E53A9" w:rsidRPr="001D1CA1" w:rsidRDefault="002E53A9" w:rsidP="001D1CA1">
      <w:pPr>
        <w:pStyle w:val="FootnoteText"/>
        <w:rPr>
          <w:szCs w:val="20"/>
          <w:lang w:val="en-GB"/>
        </w:rPr>
      </w:pPr>
      <w:r w:rsidRPr="001D1CA1">
        <w:rPr>
          <w:rStyle w:val="FootnoteReference"/>
          <w:sz w:val="20"/>
          <w:szCs w:val="20"/>
          <w:lang w:val="en-GB"/>
        </w:rPr>
        <w:footnoteRef/>
      </w:r>
      <w:r w:rsidRPr="001D1CA1">
        <w:rPr>
          <w:szCs w:val="20"/>
          <w:lang w:val="en-GB"/>
        </w:rPr>
        <w:t xml:space="preserve"> UNFCCC, Decision 1/CP.13, </w:t>
      </w:r>
      <w:r w:rsidRPr="001D1CA1">
        <w:rPr>
          <w:i/>
          <w:szCs w:val="20"/>
          <w:lang w:val="en-GB"/>
        </w:rPr>
        <w:t>Bali Action Plan,</w:t>
      </w:r>
      <w:r w:rsidRPr="001D1CA1">
        <w:rPr>
          <w:szCs w:val="20"/>
          <w:lang w:val="en-GB"/>
        </w:rPr>
        <w:t xml:space="preserve"> in Report of the Conference of the Parties on its thirteenth session, Addendum, Part Two: Action taken by the Conference of the Parties at its thirteenth session, FCCC/CP/2007/6/Add.1 (14 March 2008), para. 1(b)(ii).</w:t>
      </w:r>
    </w:p>
  </w:footnote>
  <w:footnote w:id="4">
    <w:p w14:paraId="40CB34EE" w14:textId="7D839C6C" w:rsidR="002E53A9" w:rsidRPr="001D1CA1" w:rsidRDefault="002E53A9" w:rsidP="001D1CA1">
      <w:pPr>
        <w:pStyle w:val="FootnoteText"/>
        <w:rPr>
          <w:szCs w:val="20"/>
          <w:lang w:val="en-GB"/>
        </w:rPr>
      </w:pPr>
      <w:r w:rsidRPr="001D1CA1">
        <w:rPr>
          <w:rStyle w:val="FootnoteReference"/>
          <w:sz w:val="20"/>
          <w:szCs w:val="20"/>
          <w:lang w:val="en-GB"/>
        </w:rPr>
        <w:footnoteRef/>
      </w:r>
      <w:r w:rsidRPr="001D1CA1">
        <w:rPr>
          <w:szCs w:val="20"/>
          <w:lang w:val="en-GB"/>
        </w:rPr>
        <w:t xml:space="preserve"> Constance L. McDermott, Kelly Levin &amp; Benjamin Cashore, “Building the Forest-Climate Bandwagon: REDD+ and the Logic of Problem Amelioration” (2011) 11:3 Global Environmental Politics 85-103.</w:t>
      </w:r>
    </w:p>
  </w:footnote>
  <w:footnote w:id="5">
    <w:p w14:paraId="225D5F8D" w14:textId="3A4E32D0" w:rsidR="002E53A9" w:rsidRPr="001D1CA1" w:rsidRDefault="002E53A9" w:rsidP="001D1CA1">
      <w:pPr>
        <w:pStyle w:val="FootnoteText"/>
        <w:rPr>
          <w:szCs w:val="20"/>
          <w:lang w:val="en-GB"/>
        </w:rPr>
      </w:pPr>
      <w:r w:rsidRPr="001D1CA1">
        <w:rPr>
          <w:rStyle w:val="FootnoteReference"/>
          <w:sz w:val="20"/>
          <w:szCs w:val="20"/>
          <w:lang w:val="en-GB"/>
        </w:rPr>
        <w:footnoteRef/>
      </w:r>
      <w:r w:rsidRPr="001D1CA1">
        <w:rPr>
          <w:szCs w:val="20"/>
          <w:lang w:val="en-GB"/>
        </w:rPr>
        <w:t xml:space="preserve"> See section 2.</w:t>
      </w:r>
    </w:p>
  </w:footnote>
  <w:footnote w:id="6">
    <w:p w14:paraId="6A8B6083" w14:textId="6BB1EAE1" w:rsidR="002E53A9" w:rsidRPr="001D1CA1" w:rsidRDefault="002E53A9" w:rsidP="001D1CA1">
      <w:pPr>
        <w:pStyle w:val="FootnoteText"/>
        <w:rPr>
          <w:szCs w:val="20"/>
          <w:lang w:val="en-GB"/>
        </w:rPr>
      </w:pPr>
      <w:r w:rsidRPr="001D1CA1">
        <w:rPr>
          <w:rStyle w:val="FootnoteReference"/>
          <w:sz w:val="20"/>
          <w:szCs w:val="20"/>
          <w:lang w:val="en-GB"/>
        </w:rPr>
        <w:footnoteRef/>
      </w:r>
      <w:r w:rsidRPr="001D1CA1">
        <w:rPr>
          <w:szCs w:val="20"/>
          <w:lang w:val="en-GB"/>
        </w:rPr>
        <w:t xml:space="preserve"> UNFCCC COP, Decision 1/CP.16, </w:t>
      </w:r>
      <w:r w:rsidRPr="001D1CA1">
        <w:rPr>
          <w:i/>
          <w:szCs w:val="20"/>
          <w:lang w:val="en-GB"/>
        </w:rPr>
        <w:t>The Cancun Agreements: Outcome of the work of the Ad Hoc Working Group on long-term Cooperative Action under the Convention</w:t>
      </w:r>
      <w:r w:rsidRPr="001D1CA1">
        <w:rPr>
          <w:szCs w:val="20"/>
          <w:lang w:val="en-GB"/>
        </w:rPr>
        <w:t xml:space="preserve">, in Report of the Conference of the Parties on its sixteenth session, Addendum, Part Two: Action taken by the Conference of the Parties, FCCC/CP/2010/7/Add.1 (15 March 2011) at para. 73. </w:t>
      </w:r>
    </w:p>
  </w:footnote>
  <w:footnote w:id="7">
    <w:p w14:paraId="3E5EF022" w14:textId="3D96A5DF" w:rsidR="002E53A9" w:rsidRPr="001D1CA1" w:rsidRDefault="002E53A9" w:rsidP="001D1CA1">
      <w:pPr>
        <w:pStyle w:val="FootnoteText"/>
        <w:rPr>
          <w:szCs w:val="20"/>
          <w:lang w:val="en-GB"/>
        </w:rPr>
      </w:pPr>
      <w:r w:rsidRPr="001D1CA1">
        <w:rPr>
          <w:rStyle w:val="FootnoteReference"/>
          <w:sz w:val="20"/>
          <w:szCs w:val="20"/>
          <w:lang w:val="en-GB"/>
        </w:rPr>
        <w:footnoteRef/>
      </w:r>
      <w:r w:rsidRPr="001D1CA1">
        <w:rPr>
          <w:szCs w:val="20"/>
          <w:lang w:val="en-GB"/>
        </w:rPr>
        <w:t xml:space="preserve"> Sheila Wertz-Kanounnikoff &amp; Metta Kongphan-apirak, </w:t>
      </w:r>
      <w:r w:rsidRPr="001D1CA1">
        <w:rPr>
          <w:i/>
          <w:szCs w:val="20"/>
          <w:lang w:val="en-GB"/>
        </w:rPr>
        <w:t xml:space="preserve">Emerging REDD+. A preliminary survey of demonstration and readiness activities </w:t>
      </w:r>
      <w:r w:rsidRPr="001D1CA1">
        <w:rPr>
          <w:szCs w:val="20"/>
          <w:lang w:val="en-GB"/>
        </w:rPr>
        <w:t>(Bogor Barat, Indonesia: CIFOR Working Paper no 46, 2009).</w:t>
      </w:r>
    </w:p>
  </w:footnote>
  <w:footnote w:id="8">
    <w:p w14:paraId="29EF34FD" w14:textId="42F1DC67" w:rsidR="002E53A9" w:rsidRPr="001D1CA1" w:rsidRDefault="002E53A9" w:rsidP="001D1CA1">
      <w:pPr>
        <w:pStyle w:val="FootnoteText"/>
        <w:rPr>
          <w:szCs w:val="20"/>
          <w:lang w:val="en-GB"/>
        </w:rPr>
      </w:pPr>
      <w:r w:rsidRPr="001D1CA1">
        <w:rPr>
          <w:rStyle w:val="FootnoteReference"/>
          <w:sz w:val="20"/>
          <w:szCs w:val="20"/>
          <w:lang w:val="en-GB"/>
        </w:rPr>
        <w:footnoteRef/>
      </w:r>
      <w:r w:rsidRPr="001D1CA1">
        <w:rPr>
          <w:szCs w:val="20"/>
          <w:lang w:val="en-GB"/>
        </w:rPr>
        <w:t xml:space="preserve"> See Annex I. List of developing countries participating in the REDD+ readiness phase.</w:t>
      </w:r>
    </w:p>
  </w:footnote>
  <w:footnote w:id="9">
    <w:p w14:paraId="58D09730" w14:textId="77777777" w:rsidR="002E53A9" w:rsidRPr="001D1CA1" w:rsidRDefault="002E53A9" w:rsidP="001D1CA1">
      <w:pPr>
        <w:pStyle w:val="FootnoteText"/>
        <w:rPr>
          <w:szCs w:val="20"/>
          <w:lang w:val="en-GB"/>
        </w:rPr>
      </w:pPr>
      <w:r w:rsidRPr="001D1CA1">
        <w:rPr>
          <w:rStyle w:val="FootnoteReference"/>
          <w:sz w:val="20"/>
          <w:szCs w:val="20"/>
          <w:lang w:val="en-GB"/>
        </w:rPr>
        <w:footnoteRef/>
      </w:r>
      <w:r w:rsidRPr="001D1CA1">
        <w:rPr>
          <w:szCs w:val="20"/>
          <w:lang w:val="en-GB"/>
        </w:rPr>
        <w:t xml:space="preserve"> CIFOR, “Global database of REDD+ and other forest carbon projects Interactive map,” available at: &lt;http://www. forestsclimatechange.org/redd-map/&gt; (accessed on 23 October 2012).</w:t>
      </w:r>
    </w:p>
  </w:footnote>
  <w:footnote w:id="10">
    <w:p w14:paraId="4ABF6F26" w14:textId="77777777" w:rsidR="002E53A9" w:rsidRPr="001D1CA1" w:rsidRDefault="002E53A9" w:rsidP="001D1CA1">
      <w:pPr>
        <w:pStyle w:val="FootnoteText"/>
        <w:rPr>
          <w:szCs w:val="20"/>
          <w:lang w:val="en-GB"/>
        </w:rPr>
      </w:pPr>
      <w:r w:rsidRPr="001D1CA1">
        <w:rPr>
          <w:rStyle w:val="FootnoteReference"/>
          <w:sz w:val="20"/>
          <w:szCs w:val="20"/>
          <w:lang w:val="en-GB"/>
        </w:rPr>
        <w:footnoteRef/>
      </w:r>
      <w:r w:rsidRPr="001D1CA1">
        <w:rPr>
          <w:szCs w:val="20"/>
          <w:lang w:val="en-GB"/>
        </w:rPr>
        <w:t xml:space="preserve"> Sheila Wertz-Kanounnikoff &amp; Arild Angelsen, “Global and national REDD+ architecture Linking institutions and actions,” in Arild Angelsen, (ed.), </w:t>
      </w:r>
      <w:r w:rsidRPr="001D1CA1">
        <w:rPr>
          <w:i/>
          <w:szCs w:val="20"/>
          <w:lang w:val="en-GB"/>
        </w:rPr>
        <w:t>Realising REDD+. National Strategy and Policy Options</w:t>
      </w:r>
      <w:r w:rsidRPr="001D1CA1">
        <w:rPr>
          <w:szCs w:val="20"/>
          <w:lang w:val="en-GB"/>
        </w:rPr>
        <w:t xml:space="preserve"> (Bogor, Indonesia: CIFOR, 2009) 13-24 at 24. See also </w:t>
      </w:r>
      <w:r w:rsidRPr="001D1CA1">
        <w:rPr>
          <w:bCs/>
          <w:szCs w:val="20"/>
          <w:lang w:val="en-GB"/>
        </w:rPr>
        <w:t xml:space="preserve">Arild Vatn &amp; Arild Angelsen, “Options for a national REDD+ architecture,” in </w:t>
      </w:r>
      <w:r w:rsidRPr="001D1CA1">
        <w:rPr>
          <w:bCs/>
          <w:i/>
          <w:szCs w:val="20"/>
          <w:lang w:val="en-GB"/>
        </w:rPr>
        <w:t>ibid.,</w:t>
      </w:r>
      <w:r w:rsidRPr="001D1CA1">
        <w:rPr>
          <w:bCs/>
          <w:szCs w:val="20"/>
          <w:lang w:val="en-GB"/>
        </w:rPr>
        <w:t xml:space="preserve"> 57-74 at 58. </w:t>
      </w:r>
    </w:p>
  </w:footnote>
  <w:footnote w:id="11">
    <w:p w14:paraId="72696B7F" w14:textId="77777777" w:rsidR="002E53A9" w:rsidRPr="001D1CA1" w:rsidRDefault="002E53A9" w:rsidP="001D1CA1">
      <w:pPr>
        <w:pStyle w:val="FootnoteText"/>
        <w:rPr>
          <w:szCs w:val="20"/>
          <w:lang w:val="en-GB"/>
        </w:rPr>
      </w:pPr>
      <w:r w:rsidRPr="001D1CA1">
        <w:rPr>
          <w:rStyle w:val="FootnoteReference"/>
          <w:sz w:val="20"/>
          <w:szCs w:val="20"/>
          <w:lang w:val="en-GB"/>
        </w:rPr>
        <w:footnoteRef/>
      </w:r>
      <w:r w:rsidRPr="001D1CA1">
        <w:rPr>
          <w:szCs w:val="20"/>
          <w:lang w:val="en-GB"/>
        </w:rPr>
        <w:t xml:space="preserve"> Decision 1/CP.16, para. 74. See also Charlotte Streck, “Reducing emissions from deforestation and forest degradation: national implementation of REDD schemes – an editorial comment” (2010) 3-4 Climatic Change 389-394.</w:t>
      </w:r>
    </w:p>
  </w:footnote>
  <w:footnote w:id="12">
    <w:p w14:paraId="5D602BAD" w14:textId="1EBDFCF7" w:rsidR="002E53A9" w:rsidRPr="001D1CA1" w:rsidRDefault="002E53A9" w:rsidP="001D1CA1">
      <w:pPr>
        <w:pStyle w:val="FootnoteText"/>
        <w:rPr>
          <w:szCs w:val="20"/>
          <w:lang w:val="en-GB"/>
        </w:rPr>
      </w:pPr>
      <w:r w:rsidRPr="001D1CA1">
        <w:rPr>
          <w:rStyle w:val="FootnoteReference"/>
          <w:sz w:val="20"/>
          <w:szCs w:val="20"/>
          <w:lang w:val="en-GB"/>
        </w:rPr>
        <w:footnoteRef/>
      </w:r>
      <w:r w:rsidRPr="001D1CA1">
        <w:rPr>
          <w:szCs w:val="20"/>
          <w:lang w:val="en-GB"/>
        </w:rPr>
        <w:t xml:space="preserve"> See section 2.</w:t>
      </w:r>
    </w:p>
  </w:footnote>
  <w:footnote w:id="13">
    <w:p w14:paraId="54E573CC" w14:textId="1A834925" w:rsidR="002E53A9" w:rsidRPr="001D1CA1" w:rsidRDefault="002E53A9" w:rsidP="001D1CA1">
      <w:pPr>
        <w:pStyle w:val="FootnoteText"/>
        <w:rPr>
          <w:szCs w:val="20"/>
          <w:lang w:val="en-GB"/>
        </w:rPr>
      </w:pPr>
      <w:r w:rsidRPr="001D1CA1">
        <w:rPr>
          <w:rStyle w:val="FootnoteReference"/>
          <w:sz w:val="20"/>
          <w:szCs w:val="20"/>
          <w:lang w:val="en-GB"/>
        </w:rPr>
        <w:footnoteRef/>
      </w:r>
      <w:r w:rsidRPr="001D1CA1">
        <w:rPr>
          <w:szCs w:val="20"/>
          <w:lang w:val="en-GB"/>
        </w:rPr>
        <w:t xml:space="preserve"> See Karin Bäckstrand, “Accountability of Networked Climate Governance : The Rise of Transnational Climate Partnerships” (2008) 8:3 Global Environmental Politics 74-102.</w:t>
      </w:r>
    </w:p>
  </w:footnote>
  <w:footnote w:id="14">
    <w:p w14:paraId="72B438B8" w14:textId="77777777" w:rsidR="002E53A9" w:rsidRPr="001D1CA1" w:rsidRDefault="002E53A9" w:rsidP="001D1CA1">
      <w:pPr>
        <w:pStyle w:val="FootnoteText"/>
        <w:rPr>
          <w:szCs w:val="20"/>
          <w:lang w:val="en-GB"/>
        </w:rPr>
      </w:pPr>
      <w:r w:rsidRPr="001D1CA1">
        <w:rPr>
          <w:rStyle w:val="FootnoteReference"/>
          <w:sz w:val="20"/>
          <w:szCs w:val="20"/>
          <w:lang w:val="en-GB"/>
        </w:rPr>
        <w:footnoteRef/>
      </w:r>
      <w:r w:rsidRPr="001D1CA1">
        <w:rPr>
          <w:szCs w:val="20"/>
          <w:lang w:val="en-GB"/>
        </w:rPr>
        <w:t xml:space="preserve"> Mitchell A. Orenstein, </w:t>
      </w:r>
      <w:r w:rsidRPr="001D1CA1">
        <w:rPr>
          <w:i/>
          <w:szCs w:val="20"/>
          <w:lang w:val="en-GB"/>
        </w:rPr>
        <w:t>Privatizing Pensions. The Transnational Campaign for Social Security Reform</w:t>
      </w:r>
      <w:r w:rsidRPr="001D1CA1">
        <w:rPr>
          <w:szCs w:val="20"/>
          <w:lang w:val="en-GB"/>
        </w:rPr>
        <w:t xml:space="preserve"> (Princeton, NJ: Princeton University Press, 2008) at 1. </w:t>
      </w:r>
    </w:p>
  </w:footnote>
  <w:footnote w:id="15">
    <w:p w14:paraId="1C58D4D4" w14:textId="77777777" w:rsidR="002E53A9" w:rsidRPr="001D1CA1" w:rsidRDefault="002E53A9" w:rsidP="001D1CA1">
      <w:pPr>
        <w:pStyle w:val="FootnoteText"/>
        <w:rPr>
          <w:szCs w:val="20"/>
          <w:lang w:val="en-GB"/>
        </w:rPr>
      </w:pPr>
      <w:r w:rsidRPr="001D1CA1">
        <w:rPr>
          <w:rStyle w:val="FootnoteReference"/>
          <w:sz w:val="20"/>
          <w:szCs w:val="20"/>
          <w:lang w:val="en-GB"/>
        </w:rPr>
        <w:footnoteRef/>
      </w:r>
      <w:r w:rsidRPr="001D1CA1">
        <w:rPr>
          <w:szCs w:val="20"/>
          <w:lang w:val="en-GB"/>
        </w:rPr>
        <w:t xml:space="preserve"> The expression “forest-dependent communities” is used here to refer to local communities that live on or near forests, or who otherwise depend on forest resources and services.</w:t>
      </w:r>
    </w:p>
  </w:footnote>
  <w:footnote w:id="16">
    <w:p w14:paraId="16E97826" w14:textId="77777777" w:rsidR="002E53A9" w:rsidRPr="001D1CA1" w:rsidRDefault="002E53A9" w:rsidP="001D1CA1">
      <w:pPr>
        <w:pStyle w:val="FootnoteText"/>
        <w:rPr>
          <w:szCs w:val="20"/>
          <w:lang w:val="en-GB"/>
        </w:rPr>
      </w:pPr>
      <w:r w:rsidRPr="001D1CA1">
        <w:rPr>
          <w:rStyle w:val="FootnoteReference"/>
          <w:sz w:val="20"/>
          <w:szCs w:val="20"/>
          <w:lang w:val="en-GB"/>
        </w:rPr>
        <w:footnoteRef/>
      </w:r>
      <w:r w:rsidRPr="001D1CA1">
        <w:rPr>
          <w:szCs w:val="20"/>
          <w:lang w:val="en-GB"/>
        </w:rPr>
        <w:t xml:space="preserve"> Thomas Sikor </w:t>
      </w:r>
      <w:r w:rsidRPr="001D1CA1">
        <w:rPr>
          <w:i/>
          <w:szCs w:val="20"/>
          <w:lang w:val="en-GB"/>
        </w:rPr>
        <w:t>et al.</w:t>
      </w:r>
      <w:r w:rsidRPr="001D1CA1">
        <w:rPr>
          <w:szCs w:val="20"/>
          <w:lang w:val="en-GB"/>
        </w:rPr>
        <w:t xml:space="preserve"> “REDD-plus, forest people’s rights and nested climate governance” (2010) 20:3 Global Environmental Change 423-425; Annalisa Savaresi, “The Human Rights Dimension of REDD” (2012) 21:2 Review of European Community and International Environmental Law 102-113; Rosemary Lyster, “REDD+, transparency, participation and resource rights: the role of law” (2011) 14:2 Environmental Science &amp; Policy 118-126.</w:t>
      </w:r>
    </w:p>
  </w:footnote>
  <w:footnote w:id="17">
    <w:p w14:paraId="15B306F3" w14:textId="7144900A" w:rsidR="002E53A9" w:rsidRPr="001D1CA1" w:rsidRDefault="002E53A9" w:rsidP="001D1CA1">
      <w:pPr>
        <w:pStyle w:val="FootnoteText"/>
        <w:rPr>
          <w:szCs w:val="20"/>
          <w:lang w:val="en-GB"/>
        </w:rPr>
      </w:pPr>
      <w:r w:rsidRPr="001D1CA1">
        <w:rPr>
          <w:rStyle w:val="FootnoteReference"/>
          <w:sz w:val="20"/>
          <w:szCs w:val="20"/>
          <w:lang w:val="en-GB"/>
        </w:rPr>
        <w:footnoteRef/>
      </w:r>
      <w:r>
        <w:rPr>
          <w:szCs w:val="20"/>
          <w:lang w:val="en-GB"/>
        </w:rPr>
        <w:t xml:space="preserve"> Heike Schroeder,</w:t>
      </w:r>
      <w:r w:rsidRPr="00D24CAD">
        <w:rPr>
          <w:szCs w:val="20"/>
          <w:lang w:val="en-GB"/>
        </w:rPr>
        <w:t xml:space="preserve"> “Agency in international climate negotiations: the case of indigenous peoples and avoided deforestation” (2010) 10:4 International Environmental Agreements: Politics, Law and Economics 317</w:t>
      </w:r>
      <w:r>
        <w:rPr>
          <w:szCs w:val="20"/>
          <w:lang w:val="en-GB"/>
        </w:rPr>
        <w:t>-322.</w:t>
      </w:r>
    </w:p>
  </w:footnote>
  <w:footnote w:id="18">
    <w:p w14:paraId="0EEA63F0" w14:textId="77777777"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Decision 1/CP.16, para. 71(a).</w:t>
      </w:r>
    </w:p>
  </w:footnote>
  <w:footnote w:id="19">
    <w:p w14:paraId="51089706" w14:textId="2A27CC1E"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Decision 1/CP.16, para. 71(a). I will use the term national REDD+ strategy for the remainder of this </w:t>
      </w:r>
      <w:r>
        <w:rPr>
          <w:szCs w:val="20"/>
        </w:rPr>
        <w:t>paper.</w:t>
      </w:r>
    </w:p>
  </w:footnote>
  <w:footnote w:id="20">
    <w:p w14:paraId="51969ACB" w14:textId="78EDD6D2"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Wertz-Kanounnikoff &amp; Angelsen, </w:t>
      </w:r>
      <w:r w:rsidRPr="001D1CA1">
        <w:rPr>
          <w:i/>
          <w:szCs w:val="20"/>
        </w:rPr>
        <w:t>supra</w:t>
      </w:r>
      <w:r w:rsidRPr="001D1CA1">
        <w:rPr>
          <w:szCs w:val="20"/>
        </w:rPr>
        <w:t xml:space="preserve"> note </w:t>
      </w:r>
      <w:r>
        <w:rPr>
          <w:szCs w:val="20"/>
        </w:rPr>
        <w:fldChar w:fldCharType="begin"/>
      </w:r>
      <w:r>
        <w:rPr>
          <w:szCs w:val="20"/>
        </w:rPr>
        <w:instrText xml:space="preserve"> NOTEREF _Ref217133649 \h </w:instrText>
      </w:r>
      <w:r>
        <w:rPr>
          <w:szCs w:val="20"/>
        </w:rPr>
      </w:r>
      <w:r>
        <w:rPr>
          <w:szCs w:val="20"/>
        </w:rPr>
        <w:fldChar w:fldCharType="separate"/>
      </w:r>
      <w:r w:rsidR="000E69E4">
        <w:rPr>
          <w:szCs w:val="20"/>
        </w:rPr>
        <w:t>9</w:t>
      </w:r>
      <w:r>
        <w:rPr>
          <w:szCs w:val="20"/>
        </w:rPr>
        <w:fldChar w:fldCharType="end"/>
      </w:r>
      <w:r>
        <w:rPr>
          <w:szCs w:val="20"/>
        </w:rPr>
        <w:t xml:space="preserve"> </w:t>
      </w:r>
      <w:r w:rsidRPr="001D1CA1">
        <w:rPr>
          <w:bCs/>
          <w:szCs w:val="20"/>
        </w:rPr>
        <w:t xml:space="preserve">at 13-24. </w:t>
      </w:r>
    </w:p>
  </w:footnote>
  <w:footnote w:id="21">
    <w:p w14:paraId="19BD40E1" w14:textId="77777777"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Decision 1/CP.16, para. 72.</w:t>
      </w:r>
    </w:p>
  </w:footnote>
  <w:footnote w:id="22">
    <w:p w14:paraId="0C6EB722" w14:textId="77777777"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John Costenbader, (ed.), </w:t>
      </w:r>
      <w:r w:rsidRPr="001D1CA1">
        <w:rPr>
          <w:i/>
          <w:szCs w:val="20"/>
        </w:rPr>
        <w:t>Legal Frameworks for REDD. Design and Implementation at the National Level</w:t>
      </w:r>
      <w:r w:rsidRPr="001D1CA1">
        <w:rPr>
          <w:szCs w:val="20"/>
        </w:rPr>
        <w:t xml:space="preserve"> (Bonn, Germany: IUCN Environmental Policy and Law Paper No. 77, 2009); Charlotte Streck, “Reducing emissions from deforestation and forest degradation: national implementation of REDD schemes – an editorial comment” (2010) 3-4 Climatic Change 389-394.</w:t>
      </w:r>
    </w:p>
  </w:footnote>
  <w:footnote w:id="23">
    <w:p w14:paraId="0E743A18" w14:textId="28E211D5"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w:t>
      </w:r>
      <w:r w:rsidRPr="00F56EF0">
        <w:rPr>
          <w:szCs w:val="20"/>
        </w:rPr>
        <w:t xml:space="preserve">Anthony Hall, </w:t>
      </w:r>
      <w:r w:rsidRPr="00F56EF0">
        <w:rPr>
          <w:i/>
          <w:szCs w:val="20"/>
        </w:rPr>
        <w:t>Forests and Climate Change. The Social Dimensions of REDD in Latin America</w:t>
      </w:r>
      <w:r w:rsidRPr="00F56EF0">
        <w:rPr>
          <w:szCs w:val="20"/>
        </w:rPr>
        <w:t xml:space="preserve"> (Cheltenham, UK: Edward Elgar, 2012) at </w:t>
      </w:r>
      <w:r w:rsidRPr="001D1CA1">
        <w:rPr>
          <w:szCs w:val="20"/>
        </w:rPr>
        <w:t>64-68.</w:t>
      </w:r>
    </w:p>
  </w:footnote>
  <w:footnote w:id="24">
    <w:p w14:paraId="1BE55AAD" w14:textId="0494A74E"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w:t>
      </w:r>
      <w:r w:rsidRPr="00D24EAB">
        <w:rPr>
          <w:i/>
          <w:szCs w:val="20"/>
        </w:rPr>
        <w:t>Ibid.</w:t>
      </w:r>
      <w:r>
        <w:rPr>
          <w:szCs w:val="20"/>
        </w:rPr>
        <w:t xml:space="preserve"> </w:t>
      </w:r>
      <w:r w:rsidRPr="001D1CA1">
        <w:rPr>
          <w:szCs w:val="20"/>
        </w:rPr>
        <w:t xml:space="preserve">at 58-61; </w:t>
      </w:r>
      <w:r w:rsidRPr="001D1CA1">
        <w:rPr>
          <w:bCs/>
          <w:szCs w:val="20"/>
        </w:rPr>
        <w:t xml:space="preserve">Vatn &amp; Angelsen, </w:t>
      </w:r>
      <w:r w:rsidRPr="001D1CA1">
        <w:rPr>
          <w:bCs/>
          <w:i/>
          <w:szCs w:val="20"/>
        </w:rPr>
        <w:t xml:space="preserve">supra </w:t>
      </w:r>
      <w:r w:rsidRPr="001D1CA1">
        <w:rPr>
          <w:bCs/>
          <w:szCs w:val="20"/>
        </w:rPr>
        <w:t xml:space="preserve">note </w:t>
      </w:r>
      <w:r w:rsidRPr="001D1CA1">
        <w:rPr>
          <w:bCs/>
          <w:szCs w:val="20"/>
        </w:rPr>
        <w:fldChar w:fldCharType="begin"/>
      </w:r>
      <w:r w:rsidRPr="001D1CA1">
        <w:rPr>
          <w:bCs/>
          <w:szCs w:val="20"/>
        </w:rPr>
        <w:instrText xml:space="preserve"> NOTEREF _Ref216339171 \h </w:instrText>
      </w:r>
      <w:r w:rsidRPr="001D1CA1">
        <w:rPr>
          <w:bCs/>
          <w:szCs w:val="20"/>
        </w:rPr>
      </w:r>
      <w:r w:rsidRPr="001D1CA1">
        <w:rPr>
          <w:bCs/>
          <w:szCs w:val="20"/>
        </w:rPr>
        <w:fldChar w:fldCharType="separate"/>
      </w:r>
      <w:r w:rsidR="000E69E4">
        <w:rPr>
          <w:bCs/>
          <w:szCs w:val="20"/>
        </w:rPr>
        <w:t>9</w:t>
      </w:r>
      <w:r w:rsidRPr="001D1CA1">
        <w:rPr>
          <w:bCs/>
          <w:szCs w:val="20"/>
        </w:rPr>
        <w:fldChar w:fldCharType="end"/>
      </w:r>
      <w:r w:rsidRPr="001D1CA1">
        <w:rPr>
          <w:bCs/>
          <w:szCs w:val="20"/>
        </w:rPr>
        <w:t xml:space="preserve"> at </w:t>
      </w:r>
      <w:r w:rsidRPr="001D1CA1">
        <w:rPr>
          <w:szCs w:val="20"/>
        </w:rPr>
        <w:t>67-73.</w:t>
      </w:r>
    </w:p>
  </w:footnote>
  <w:footnote w:id="25">
    <w:p w14:paraId="48D45BEA" w14:textId="77777777"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Cecilia Luttrell, Lasse Loft, Maria Fernanda Gebara &amp; Demetrius Kweka, “</w:t>
      </w:r>
      <w:r w:rsidRPr="001D1CA1">
        <w:rPr>
          <w:bCs/>
          <w:szCs w:val="20"/>
        </w:rPr>
        <w:t>Who should benefit and why?</w:t>
      </w:r>
    </w:p>
    <w:p w14:paraId="15D6FB46" w14:textId="5DF6F2F4" w:rsidR="002E53A9" w:rsidRPr="001D1CA1" w:rsidRDefault="002E53A9" w:rsidP="001D1CA1">
      <w:pPr>
        <w:pStyle w:val="FootnoteText"/>
        <w:rPr>
          <w:szCs w:val="20"/>
        </w:rPr>
      </w:pPr>
      <w:r w:rsidRPr="001D1CA1">
        <w:rPr>
          <w:bCs/>
          <w:szCs w:val="20"/>
        </w:rPr>
        <w:t>Discourses on REDD+ benefit sharing</w:t>
      </w:r>
      <w:r w:rsidRPr="001D1CA1">
        <w:rPr>
          <w:szCs w:val="20"/>
        </w:rPr>
        <w:t xml:space="preserve">” in </w:t>
      </w:r>
      <w:r w:rsidRPr="00F56EF0">
        <w:rPr>
          <w:szCs w:val="20"/>
        </w:rPr>
        <w:t xml:space="preserve">Arild Angelsen, Maria Brockhaus, William D. Sunderlin &amp; Louis V. Verchot (eds.), </w:t>
      </w:r>
      <w:r w:rsidRPr="00F56EF0">
        <w:rPr>
          <w:i/>
          <w:szCs w:val="20"/>
        </w:rPr>
        <w:t>Analysing REDD+. Challenges and Choices</w:t>
      </w:r>
      <w:r w:rsidRPr="00F56EF0">
        <w:rPr>
          <w:szCs w:val="20"/>
        </w:rPr>
        <w:t xml:space="preserve"> (Bogor Barat, Indonesia: CIFOR, 2012) </w:t>
      </w:r>
      <w:r w:rsidRPr="001D1CA1">
        <w:rPr>
          <w:szCs w:val="20"/>
        </w:rPr>
        <w:t>129-151.</w:t>
      </w:r>
    </w:p>
  </w:footnote>
  <w:footnote w:id="26">
    <w:p w14:paraId="7372690B" w14:textId="77777777"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John Costenbader, “REDD+ Benefit Sharing: A Comparison of Three National Policy Approaches” (UN-REDD &amp; World Bank FCPF, 2011); Henrik Lindhjem, Ida Aronsen, Kirsten G. Bråten &amp; Audun Gleinsvik, “Experiences with benefit sharing: issues and options for REDD-plus,” (Oslo, Norway: Econ Pöyry, 2010).</w:t>
      </w:r>
    </w:p>
  </w:footnote>
  <w:footnote w:id="27">
    <w:p w14:paraId="0734C92E" w14:textId="77777777"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Rosimeiry Portela, Kelly J. Wendland &amp; Laura Ledwith Pennypacker, “The Idea of Market-Based Mechanisms for Forest Conservation and Climate Change,” in Charlotte Streck, Robert O’Sullivan, Toby Janson-Smith &amp; Richard Tarasofsky, (eds.), </w:t>
      </w:r>
      <w:r w:rsidRPr="001D1CA1">
        <w:rPr>
          <w:i/>
          <w:szCs w:val="20"/>
        </w:rPr>
        <w:t>Climate Change and Forests. Emerging Policy and Market Opportunities</w:t>
      </w:r>
      <w:r w:rsidRPr="001D1CA1">
        <w:rPr>
          <w:szCs w:val="20"/>
        </w:rPr>
        <w:t xml:space="preserve"> (London, UK: Chatham House, 2008) 11-29 at 25.</w:t>
      </w:r>
    </w:p>
  </w:footnote>
  <w:footnote w:id="28">
    <w:p w14:paraId="0F1698B2" w14:textId="139C88DF"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Charlotte Streck, “</w:t>
      </w:r>
      <w:r w:rsidRPr="001D1CA1">
        <w:rPr>
          <w:bCs/>
          <w:szCs w:val="20"/>
        </w:rPr>
        <w:t>Rights and REDD+: Legal and regulatory considerations,”</w:t>
      </w:r>
      <w:r w:rsidRPr="001D1CA1">
        <w:rPr>
          <w:szCs w:val="20"/>
        </w:rPr>
        <w:t xml:space="preserve"> </w:t>
      </w:r>
      <w:r w:rsidRPr="001D1CA1">
        <w:rPr>
          <w:bCs/>
          <w:szCs w:val="20"/>
        </w:rPr>
        <w:t xml:space="preserve">in Angelsen, </w:t>
      </w:r>
      <w:r w:rsidRPr="001D1CA1">
        <w:rPr>
          <w:bCs/>
          <w:i/>
          <w:szCs w:val="20"/>
        </w:rPr>
        <w:t>supra</w:t>
      </w:r>
      <w:r>
        <w:rPr>
          <w:bCs/>
          <w:szCs w:val="20"/>
        </w:rPr>
        <w:t xml:space="preserve"> </w:t>
      </w:r>
      <w:r w:rsidRPr="001D1CA1">
        <w:rPr>
          <w:bCs/>
          <w:szCs w:val="20"/>
        </w:rPr>
        <w:t xml:space="preserve">note </w:t>
      </w:r>
      <w:r w:rsidRPr="001D1CA1">
        <w:rPr>
          <w:bCs/>
          <w:szCs w:val="20"/>
        </w:rPr>
        <w:fldChar w:fldCharType="begin"/>
      </w:r>
      <w:r w:rsidRPr="001D1CA1">
        <w:rPr>
          <w:bCs/>
          <w:szCs w:val="20"/>
        </w:rPr>
        <w:instrText xml:space="preserve"> NOTEREF _Ref216339171 \h </w:instrText>
      </w:r>
      <w:r w:rsidRPr="001D1CA1">
        <w:rPr>
          <w:bCs/>
          <w:szCs w:val="20"/>
        </w:rPr>
      </w:r>
      <w:r w:rsidRPr="001D1CA1">
        <w:rPr>
          <w:bCs/>
          <w:szCs w:val="20"/>
        </w:rPr>
        <w:fldChar w:fldCharType="separate"/>
      </w:r>
      <w:r w:rsidR="000E69E4">
        <w:rPr>
          <w:bCs/>
          <w:szCs w:val="20"/>
        </w:rPr>
        <w:t>9</w:t>
      </w:r>
      <w:r w:rsidRPr="001D1CA1">
        <w:rPr>
          <w:bCs/>
          <w:szCs w:val="20"/>
        </w:rPr>
        <w:fldChar w:fldCharType="end"/>
      </w:r>
      <w:r w:rsidRPr="001D1CA1">
        <w:rPr>
          <w:bCs/>
          <w:szCs w:val="20"/>
        </w:rPr>
        <w:t>, 151-162 at 157-158.</w:t>
      </w:r>
    </w:p>
  </w:footnote>
  <w:footnote w:id="29">
    <w:p w14:paraId="70EC93DE" w14:textId="77777777"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Streck,</w:t>
      </w:r>
      <w:r w:rsidRPr="001D1CA1">
        <w:rPr>
          <w:i/>
          <w:szCs w:val="20"/>
        </w:rPr>
        <w:t xml:space="preserve"> supra</w:t>
      </w:r>
      <w:r w:rsidRPr="001D1CA1">
        <w:rPr>
          <w:szCs w:val="20"/>
        </w:rPr>
        <w:t xml:space="preserve"> note </w:t>
      </w:r>
      <w:r w:rsidRPr="001D1CA1">
        <w:rPr>
          <w:szCs w:val="20"/>
        </w:rPr>
        <w:fldChar w:fldCharType="begin"/>
      </w:r>
      <w:r w:rsidRPr="001D1CA1">
        <w:rPr>
          <w:szCs w:val="20"/>
        </w:rPr>
        <w:instrText xml:space="preserve"> NOTEREF _Ref215904708 \h </w:instrText>
      </w:r>
      <w:r w:rsidRPr="001D1CA1">
        <w:rPr>
          <w:szCs w:val="20"/>
        </w:rPr>
      </w:r>
      <w:r w:rsidRPr="001D1CA1">
        <w:rPr>
          <w:szCs w:val="20"/>
        </w:rPr>
        <w:fldChar w:fldCharType="separate"/>
      </w:r>
      <w:r w:rsidR="000E69E4">
        <w:rPr>
          <w:szCs w:val="20"/>
        </w:rPr>
        <w:t>27</w:t>
      </w:r>
      <w:r w:rsidRPr="001D1CA1">
        <w:rPr>
          <w:szCs w:val="20"/>
        </w:rPr>
        <w:fldChar w:fldCharType="end"/>
      </w:r>
      <w:r w:rsidRPr="001D1CA1">
        <w:rPr>
          <w:szCs w:val="20"/>
        </w:rPr>
        <w:t xml:space="preserve"> at 161.</w:t>
      </w:r>
    </w:p>
  </w:footnote>
  <w:footnote w:id="30">
    <w:p w14:paraId="3EF1961F" w14:textId="0FE21671"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William D. Sunderlin, Anne M. Larson &amp; Peter Cronkleton, “</w:t>
      </w:r>
      <w:r w:rsidRPr="001D1CA1">
        <w:rPr>
          <w:bCs/>
          <w:szCs w:val="20"/>
        </w:rPr>
        <w:t xml:space="preserve">Forest tenure rights and REDD+ From inertia to policy solutions” in Angelsen, </w:t>
      </w:r>
      <w:r w:rsidRPr="001D1CA1">
        <w:rPr>
          <w:bCs/>
          <w:i/>
          <w:szCs w:val="20"/>
        </w:rPr>
        <w:t>supra</w:t>
      </w:r>
      <w:r>
        <w:rPr>
          <w:bCs/>
          <w:szCs w:val="20"/>
        </w:rPr>
        <w:t xml:space="preserve"> </w:t>
      </w:r>
      <w:r w:rsidRPr="001D1CA1">
        <w:rPr>
          <w:bCs/>
          <w:szCs w:val="20"/>
        </w:rPr>
        <w:t xml:space="preserve">note </w:t>
      </w:r>
      <w:r w:rsidRPr="001D1CA1">
        <w:rPr>
          <w:bCs/>
          <w:szCs w:val="20"/>
        </w:rPr>
        <w:fldChar w:fldCharType="begin"/>
      </w:r>
      <w:r w:rsidRPr="001D1CA1">
        <w:rPr>
          <w:bCs/>
          <w:szCs w:val="20"/>
        </w:rPr>
        <w:instrText xml:space="preserve"> NOTEREF _Ref216339171 \h </w:instrText>
      </w:r>
      <w:r w:rsidRPr="001D1CA1">
        <w:rPr>
          <w:bCs/>
          <w:szCs w:val="20"/>
        </w:rPr>
      </w:r>
      <w:r w:rsidRPr="001D1CA1">
        <w:rPr>
          <w:bCs/>
          <w:szCs w:val="20"/>
        </w:rPr>
        <w:fldChar w:fldCharType="separate"/>
      </w:r>
      <w:r w:rsidR="000E69E4">
        <w:rPr>
          <w:bCs/>
          <w:szCs w:val="20"/>
        </w:rPr>
        <w:t>9</w:t>
      </w:r>
      <w:r w:rsidRPr="001D1CA1">
        <w:rPr>
          <w:bCs/>
          <w:szCs w:val="20"/>
        </w:rPr>
        <w:fldChar w:fldCharType="end"/>
      </w:r>
      <w:r w:rsidRPr="001D1CA1">
        <w:rPr>
          <w:bCs/>
          <w:szCs w:val="20"/>
        </w:rPr>
        <w:t>, 139-149 at 141.</w:t>
      </w:r>
    </w:p>
  </w:footnote>
  <w:footnote w:id="31">
    <w:p w14:paraId="55190172" w14:textId="77777777"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Decision 1/CP.16, para. 72.</w:t>
      </w:r>
    </w:p>
  </w:footnote>
  <w:footnote w:id="32">
    <w:p w14:paraId="3B59589E" w14:textId="4E417366"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Tim Forsyth, “</w:t>
      </w:r>
      <w:r w:rsidRPr="001D1CA1">
        <w:rPr>
          <w:bCs/>
          <w:szCs w:val="20"/>
        </w:rPr>
        <w:t>Multilevel, multiactor governance in REDD+ Participation, integration and coordination,”</w:t>
      </w:r>
      <w:r w:rsidRPr="001D1CA1">
        <w:rPr>
          <w:szCs w:val="20"/>
        </w:rPr>
        <w:t xml:space="preserve"> in </w:t>
      </w:r>
      <w:r w:rsidRPr="001D1CA1">
        <w:rPr>
          <w:bCs/>
          <w:szCs w:val="20"/>
        </w:rPr>
        <w:t xml:space="preserve">Angelsen, </w:t>
      </w:r>
      <w:r w:rsidRPr="001D1CA1">
        <w:rPr>
          <w:bCs/>
          <w:i/>
          <w:szCs w:val="20"/>
        </w:rPr>
        <w:t>supra</w:t>
      </w:r>
      <w:r>
        <w:rPr>
          <w:bCs/>
          <w:szCs w:val="20"/>
        </w:rPr>
        <w:t xml:space="preserve"> </w:t>
      </w:r>
      <w:r w:rsidRPr="001D1CA1">
        <w:rPr>
          <w:bCs/>
          <w:szCs w:val="20"/>
        </w:rPr>
        <w:t xml:space="preserve">note </w:t>
      </w:r>
      <w:r w:rsidRPr="001D1CA1">
        <w:rPr>
          <w:bCs/>
          <w:szCs w:val="20"/>
        </w:rPr>
        <w:fldChar w:fldCharType="begin"/>
      </w:r>
      <w:r w:rsidRPr="001D1CA1">
        <w:rPr>
          <w:bCs/>
          <w:szCs w:val="20"/>
        </w:rPr>
        <w:instrText xml:space="preserve"> NOTEREF _Ref216339171 \h </w:instrText>
      </w:r>
      <w:r w:rsidRPr="001D1CA1">
        <w:rPr>
          <w:bCs/>
          <w:szCs w:val="20"/>
        </w:rPr>
      </w:r>
      <w:r w:rsidRPr="001D1CA1">
        <w:rPr>
          <w:bCs/>
          <w:szCs w:val="20"/>
        </w:rPr>
        <w:fldChar w:fldCharType="separate"/>
      </w:r>
      <w:r w:rsidR="000E69E4">
        <w:rPr>
          <w:bCs/>
          <w:szCs w:val="20"/>
        </w:rPr>
        <w:t>9</w:t>
      </w:r>
      <w:r w:rsidRPr="001D1CA1">
        <w:rPr>
          <w:bCs/>
          <w:szCs w:val="20"/>
        </w:rPr>
        <w:fldChar w:fldCharType="end"/>
      </w:r>
      <w:r w:rsidRPr="001D1CA1">
        <w:rPr>
          <w:bCs/>
          <w:szCs w:val="20"/>
        </w:rPr>
        <w:t>, 113-122.</w:t>
      </w:r>
    </w:p>
  </w:footnote>
  <w:footnote w:id="33">
    <w:p w14:paraId="6DA975F2" w14:textId="77777777"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w:t>
      </w:r>
      <w:r w:rsidRPr="001D1CA1">
        <w:rPr>
          <w:i/>
          <w:szCs w:val="20"/>
        </w:rPr>
        <w:t>Ibid.</w:t>
      </w:r>
      <w:r w:rsidRPr="001D1CA1">
        <w:rPr>
          <w:szCs w:val="20"/>
        </w:rPr>
        <w:t xml:space="preserve"> at 122.</w:t>
      </w:r>
    </w:p>
  </w:footnote>
  <w:footnote w:id="34">
    <w:p w14:paraId="191EA8DF" w14:textId="7F60BEE4"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Leo Peskett &amp; Maria Brockhaus, “When REDD+ Goes National. A review of realities, opportunities, and challenges,” in Angelsen, </w:t>
      </w:r>
      <w:r w:rsidRPr="001D1CA1">
        <w:rPr>
          <w:i/>
          <w:szCs w:val="20"/>
        </w:rPr>
        <w:t>supra</w:t>
      </w:r>
      <w:r>
        <w:rPr>
          <w:szCs w:val="20"/>
        </w:rPr>
        <w:t xml:space="preserve"> </w:t>
      </w:r>
      <w:r w:rsidRPr="001D1CA1">
        <w:rPr>
          <w:bCs/>
          <w:szCs w:val="20"/>
        </w:rPr>
        <w:t xml:space="preserve">note </w:t>
      </w:r>
      <w:r w:rsidRPr="001D1CA1">
        <w:rPr>
          <w:bCs/>
          <w:szCs w:val="20"/>
        </w:rPr>
        <w:fldChar w:fldCharType="begin"/>
      </w:r>
      <w:r w:rsidRPr="001D1CA1">
        <w:rPr>
          <w:bCs/>
          <w:szCs w:val="20"/>
        </w:rPr>
        <w:instrText xml:space="preserve"> NOTEREF _Ref216339171 \h </w:instrText>
      </w:r>
      <w:r w:rsidRPr="001D1CA1">
        <w:rPr>
          <w:bCs/>
          <w:szCs w:val="20"/>
        </w:rPr>
      </w:r>
      <w:r w:rsidRPr="001D1CA1">
        <w:rPr>
          <w:bCs/>
          <w:szCs w:val="20"/>
        </w:rPr>
        <w:fldChar w:fldCharType="separate"/>
      </w:r>
      <w:r w:rsidR="000E69E4">
        <w:rPr>
          <w:bCs/>
          <w:szCs w:val="20"/>
        </w:rPr>
        <w:t>9</w:t>
      </w:r>
      <w:r w:rsidRPr="001D1CA1">
        <w:rPr>
          <w:bCs/>
          <w:szCs w:val="20"/>
        </w:rPr>
        <w:fldChar w:fldCharType="end"/>
      </w:r>
      <w:r>
        <w:rPr>
          <w:bCs/>
          <w:szCs w:val="20"/>
        </w:rPr>
        <w:t xml:space="preserve">, </w:t>
      </w:r>
      <w:r w:rsidRPr="001D1CA1">
        <w:rPr>
          <w:szCs w:val="20"/>
        </w:rPr>
        <w:t>25-40 at 40-41.</w:t>
      </w:r>
    </w:p>
  </w:footnote>
  <w:footnote w:id="35">
    <w:p w14:paraId="4841327A" w14:textId="38C0B60D"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Arild Angelsen, “Policy options to reduce deforestation” in Angelsen, </w:t>
      </w:r>
      <w:r w:rsidRPr="001D1CA1">
        <w:rPr>
          <w:i/>
          <w:szCs w:val="20"/>
        </w:rPr>
        <w:t>supra</w:t>
      </w:r>
      <w:r>
        <w:rPr>
          <w:szCs w:val="20"/>
        </w:rPr>
        <w:t xml:space="preserve"> </w:t>
      </w:r>
      <w:r w:rsidRPr="001D1CA1">
        <w:rPr>
          <w:bCs/>
          <w:szCs w:val="20"/>
        </w:rPr>
        <w:t xml:space="preserve">note </w:t>
      </w:r>
      <w:r w:rsidRPr="001D1CA1">
        <w:rPr>
          <w:bCs/>
          <w:szCs w:val="20"/>
        </w:rPr>
        <w:fldChar w:fldCharType="begin"/>
      </w:r>
      <w:r w:rsidRPr="001D1CA1">
        <w:rPr>
          <w:bCs/>
          <w:szCs w:val="20"/>
        </w:rPr>
        <w:instrText xml:space="preserve"> NOTEREF _Ref216339171 \h </w:instrText>
      </w:r>
      <w:r w:rsidRPr="001D1CA1">
        <w:rPr>
          <w:bCs/>
          <w:szCs w:val="20"/>
        </w:rPr>
      </w:r>
      <w:r w:rsidRPr="001D1CA1">
        <w:rPr>
          <w:bCs/>
          <w:szCs w:val="20"/>
        </w:rPr>
        <w:fldChar w:fldCharType="separate"/>
      </w:r>
      <w:r w:rsidR="000E69E4">
        <w:rPr>
          <w:bCs/>
          <w:szCs w:val="20"/>
        </w:rPr>
        <w:t>9</w:t>
      </w:r>
      <w:r w:rsidRPr="001D1CA1">
        <w:rPr>
          <w:bCs/>
          <w:szCs w:val="20"/>
        </w:rPr>
        <w:fldChar w:fldCharType="end"/>
      </w:r>
      <w:r w:rsidRPr="001D1CA1">
        <w:rPr>
          <w:szCs w:val="20"/>
        </w:rPr>
        <w:t>, 125-138 at 127.</w:t>
      </w:r>
    </w:p>
  </w:footnote>
  <w:footnote w:id="36">
    <w:p w14:paraId="083A4665" w14:textId="6C09B9AA"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Luca Tacconi, Fiona Downs &amp; Peter Larmour, “Anti-corruption policies in the forest sector and REDD+” in Angelsen, </w:t>
      </w:r>
      <w:r w:rsidRPr="001D1CA1">
        <w:rPr>
          <w:i/>
          <w:szCs w:val="20"/>
        </w:rPr>
        <w:t>supra</w:t>
      </w:r>
      <w:r>
        <w:rPr>
          <w:szCs w:val="20"/>
        </w:rPr>
        <w:t xml:space="preserve"> </w:t>
      </w:r>
      <w:r w:rsidRPr="001D1CA1">
        <w:rPr>
          <w:bCs/>
          <w:szCs w:val="20"/>
        </w:rPr>
        <w:t xml:space="preserve">note </w:t>
      </w:r>
      <w:r w:rsidRPr="001D1CA1">
        <w:rPr>
          <w:bCs/>
          <w:szCs w:val="20"/>
        </w:rPr>
        <w:fldChar w:fldCharType="begin"/>
      </w:r>
      <w:r w:rsidRPr="001D1CA1">
        <w:rPr>
          <w:bCs/>
          <w:szCs w:val="20"/>
        </w:rPr>
        <w:instrText xml:space="preserve"> NOTEREF _Ref216339171 \h </w:instrText>
      </w:r>
      <w:r w:rsidRPr="001D1CA1">
        <w:rPr>
          <w:bCs/>
          <w:szCs w:val="20"/>
        </w:rPr>
      </w:r>
      <w:r w:rsidRPr="001D1CA1">
        <w:rPr>
          <w:bCs/>
          <w:szCs w:val="20"/>
        </w:rPr>
        <w:fldChar w:fldCharType="separate"/>
      </w:r>
      <w:r w:rsidR="000E69E4">
        <w:rPr>
          <w:bCs/>
          <w:szCs w:val="20"/>
        </w:rPr>
        <w:t>9</w:t>
      </w:r>
      <w:r w:rsidRPr="001D1CA1">
        <w:rPr>
          <w:bCs/>
          <w:szCs w:val="20"/>
        </w:rPr>
        <w:fldChar w:fldCharType="end"/>
      </w:r>
      <w:r w:rsidRPr="001D1CA1">
        <w:rPr>
          <w:szCs w:val="20"/>
        </w:rPr>
        <w:t>, 163-174.</w:t>
      </w:r>
    </w:p>
  </w:footnote>
  <w:footnote w:id="37">
    <w:p w14:paraId="3EAB3C86" w14:textId="6C58ED79"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Decision 1/CP.16, para. 71 (b).</w:t>
      </w:r>
    </w:p>
  </w:footnote>
  <w:footnote w:id="38">
    <w:p w14:paraId="50619042" w14:textId="017BF9F3" w:rsidR="002E53A9" w:rsidRPr="001D1CA1" w:rsidRDefault="002E53A9" w:rsidP="001D1CA1">
      <w:pPr>
        <w:pStyle w:val="FootnoteText"/>
        <w:rPr>
          <w:bCs/>
          <w:szCs w:val="20"/>
        </w:rPr>
      </w:pPr>
      <w:r w:rsidRPr="001D1CA1">
        <w:rPr>
          <w:rStyle w:val="FootnoteReference"/>
          <w:sz w:val="20"/>
          <w:szCs w:val="20"/>
        </w:rPr>
        <w:footnoteRef/>
      </w:r>
      <w:r w:rsidRPr="001D1CA1">
        <w:rPr>
          <w:szCs w:val="20"/>
        </w:rPr>
        <w:t xml:space="preserve"> </w:t>
      </w:r>
      <w:r w:rsidRPr="001D1CA1">
        <w:rPr>
          <w:bCs/>
          <w:szCs w:val="20"/>
          <w:lang w:val="en-US"/>
        </w:rPr>
        <w:t>Thiago Chagas, John Costenbader, Charlotte Streck &amp; Stephanie Roe, “Reference Levels: Concepts, Functions, and Application in REDD+ and Forest Carbon Standards”</w:t>
      </w:r>
      <w:r w:rsidRPr="001D1CA1">
        <w:rPr>
          <w:bCs/>
          <w:i/>
          <w:szCs w:val="20"/>
          <w:lang w:val="en-US"/>
        </w:rPr>
        <w:t xml:space="preserve"> </w:t>
      </w:r>
      <w:r w:rsidRPr="001D1CA1">
        <w:rPr>
          <w:bCs/>
          <w:szCs w:val="20"/>
          <w:lang w:val="en-US"/>
        </w:rPr>
        <w:t xml:space="preserve">(Climate Focus, 2013), available at: http://www.climatefocus.com/documents/files/reference_levels_concepts_functions_and_application_in_redd_and_forest_carbon_standards.pdf;  Martin </w:t>
      </w:r>
      <w:r w:rsidRPr="001D1CA1">
        <w:rPr>
          <w:bCs/>
          <w:szCs w:val="20"/>
        </w:rPr>
        <w:t xml:space="preserve">Herold </w:t>
      </w:r>
      <w:r w:rsidRPr="001D1CA1">
        <w:rPr>
          <w:bCs/>
          <w:i/>
          <w:szCs w:val="20"/>
        </w:rPr>
        <w:t>et al.</w:t>
      </w:r>
      <w:r w:rsidRPr="001D1CA1">
        <w:rPr>
          <w:bCs/>
          <w:szCs w:val="20"/>
        </w:rPr>
        <w:t xml:space="preserve"> 2012. “A Stepwise Framework for Developing REDD+ Reference Levels.” </w:t>
      </w:r>
      <w:r w:rsidRPr="001D1CA1">
        <w:rPr>
          <w:szCs w:val="20"/>
        </w:rPr>
        <w:t xml:space="preserve">Angelsen, </w:t>
      </w:r>
      <w:r w:rsidRPr="001D1CA1">
        <w:rPr>
          <w:i/>
          <w:szCs w:val="20"/>
        </w:rPr>
        <w:t>supra</w:t>
      </w:r>
      <w:r w:rsidRPr="001D1CA1">
        <w:rPr>
          <w:szCs w:val="20"/>
        </w:rPr>
        <w:t xml:space="preserve"> note </w:t>
      </w:r>
      <w:r w:rsidRPr="001D1CA1">
        <w:rPr>
          <w:szCs w:val="20"/>
        </w:rPr>
        <w:fldChar w:fldCharType="begin"/>
      </w:r>
      <w:r w:rsidRPr="001D1CA1">
        <w:rPr>
          <w:szCs w:val="20"/>
        </w:rPr>
        <w:instrText xml:space="preserve"> NOTEREF _Ref217133649 \h </w:instrText>
      </w:r>
      <w:r w:rsidRPr="001D1CA1">
        <w:rPr>
          <w:szCs w:val="20"/>
        </w:rPr>
      </w:r>
      <w:r w:rsidRPr="001D1CA1">
        <w:rPr>
          <w:szCs w:val="20"/>
        </w:rPr>
        <w:fldChar w:fldCharType="separate"/>
      </w:r>
      <w:r w:rsidR="000E69E4">
        <w:rPr>
          <w:szCs w:val="20"/>
        </w:rPr>
        <w:t>9</w:t>
      </w:r>
      <w:r w:rsidRPr="001D1CA1">
        <w:rPr>
          <w:szCs w:val="20"/>
        </w:rPr>
        <w:fldChar w:fldCharType="end"/>
      </w:r>
      <w:r w:rsidRPr="001D1CA1">
        <w:rPr>
          <w:szCs w:val="20"/>
        </w:rPr>
        <w:t xml:space="preserve">, </w:t>
      </w:r>
      <w:r w:rsidRPr="001D1CA1">
        <w:rPr>
          <w:bCs/>
          <w:szCs w:val="20"/>
        </w:rPr>
        <w:t xml:space="preserve">279-299. </w:t>
      </w:r>
    </w:p>
  </w:footnote>
  <w:footnote w:id="39">
    <w:p w14:paraId="1264AC99" w14:textId="52353B0A"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Decision 1/CP.16, para. 71 (c).</w:t>
      </w:r>
    </w:p>
  </w:footnote>
  <w:footnote w:id="40">
    <w:p w14:paraId="3E17C2CE" w14:textId="55E8BD91" w:rsidR="002E53A9" w:rsidRPr="001D1CA1" w:rsidRDefault="002E53A9" w:rsidP="001D1CA1">
      <w:pPr>
        <w:pStyle w:val="FootnoteText"/>
        <w:rPr>
          <w:szCs w:val="20"/>
          <w:highlight w:val="yellow"/>
        </w:rPr>
      </w:pPr>
      <w:r w:rsidRPr="001D1CA1">
        <w:rPr>
          <w:rStyle w:val="FootnoteReference"/>
          <w:sz w:val="20"/>
          <w:szCs w:val="20"/>
        </w:rPr>
        <w:footnoteRef/>
      </w:r>
      <w:r w:rsidRPr="001D1CA1">
        <w:rPr>
          <w:szCs w:val="20"/>
        </w:rPr>
        <w:t xml:space="preserve"> Hall, </w:t>
      </w:r>
      <w:r w:rsidRPr="001D1CA1">
        <w:rPr>
          <w:i/>
          <w:szCs w:val="20"/>
        </w:rPr>
        <w:t>supra</w:t>
      </w:r>
      <w:r w:rsidRPr="001D1CA1">
        <w:rPr>
          <w:szCs w:val="20"/>
        </w:rPr>
        <w:t xml:space="preserve"> note </w:t>
      </w:r>
      <w:r>
        <w:rPr>
          <w:szCs w:val="20"/>
        </w:rPr>
        <w:fldChar w:fldCharType="begin"/>
      </w:r>
      <w:r>
        <w:rPr>
          <w:szCs w:val="20"/>
        </w:rPr>
        <w:instrText xml:space="preserve"> NOTEREF _Ref227654319 \h </w:instrText>
      </w:r>
      <w:r>
        <w:rPr>
          <w:szCs w:val="20"/>
        </w:rPr>
      </w:r>
      <w:r>
        <w:rPr>
          <w:szCs w:val="20"/>
        </w:rPr>
        <w:fldChar w:fldCharType="separate"/>
      </w:r>
      <w:r w:rsidR="000E69E4">
        <w:rPr>
          <w:szCs w:val="20"/>
        </w:rPr>
        <w:t>22</w:t>
      </w:r>
      <w:r>
        <w:rPr>
          <w:szCs w:val="20"/>
        </w:rPr>
        <w:fldChar w:fldCharType="end"/>
      </w:r>
      <w:r>
        <w:rPr>
          <w:szCs w:val="20"/>
        </w:rPr>
        <w:t xml:space="preserve"> </w:t>
      </w:r>
      <w:r w:rsidRPr="001D1CA1">
        <w:rPr>
          <w:szCs w:val="20"/>
        </w:rPr>
        <w:t xml:space="preserve">at 61. See Erika Romijn </w:t>
      </w:r>
      <w:r w:rsidRPr="001D1CA1">
        <w:rPr>
          <w:i/>
          <w:szCs w:val="20"/>
        </w:rPr>
        <w:t>et al.</w:t>
      </w:r>
      <w:r w:rsidRPr="001D1CA1">
        <w:rPr>
          <w:szCs w:val="20"/>
        </w:rPr>
        <w:t>, “Assessing capacities of non-Annex I countries for national forest monitoring in the context of REDD+” (2012) 19-20 Environmental Science &amp; Policy 33-48.</w:t>
      </w:r>
    </w:p>
  </w:footnote>
  <w:footnote w:id="41">
    <w:p w14:paraId="30993BBE" w14:textId="77777777"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UN-REDD, </w:t>
      </w:r>
      <w:r w:rsidRPr="001D1CA1">
        <w:rPr>
          <w:i/>
          <w:szCs w:val="20"/>
        </w:rPr>
        <w:t>The UN-REDD Programme Strategy 2010-2015</w:t>
      </w:r>
      <w:r w:rsidRPr="001D1CA1">
        <w:rPr>
          <w:szCs w:val="20"/>
        </w:rPr>
        <w:t xml:space="preserve"> (FAO, UNDP &amp; UNEP, 2010) at 9.</w:t>
      </w:r>
    </w:p>
  </w:footnote>
  <w:footnote w:id="42">
    <w:p w14:paraId="0195B8E0" w14:textId="77777777"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Aarti Gupta </w:t>
      </w:r>
      <w:r w:rsidRPr="001D1CA1">
        <w:rPr>
          <w:i/>
          <w:szCs w:val="20"/>
        </w:rPr>
        <w:t>et al.</w:t>
      </w:r>
      <w:r w:rsidRPr="001D1CA1">
        <w:rPr>
          <w:szCs w:val="20"/>
        </w:rPr>
        <w:t>, “In pursuit of carbon accountability: the politics of REDD+ measuring, reporting and verification systems” (2012) 4 Current Opinion in Environmental Sustainability 726-731.</w:t>
      </w:r>
    </w:p>
  </w:footnote>
  <w:footnote w:id="43">
    <w:p w14:paraId="67E21C79" w14:textId="77777777"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w:t>
      </w:r>
      <w:r w:rsidRPr="001D1CA1">
        <w:rPr>
          <w:i/>
          <w:szCs w:val="20"/>
        </w:rPr>
        <w:t>Ibid.</w:t>
      </w:r>
      <w:r w:rsidRPr="001D1CA1">
        <w:rPr>
          <w:szCs w:val="20"/>
        </w:rPr>
        <w:t xml:space="preserve"> at 730.</w:t>
      </w:r>
    </w:p>
  </w:footnote>
  <w:footnote w:id="44">
    <w:p w14:paraId="686B4983" w14:textId="77777777"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See section 3.3 below where this issue is addressed in greater detail.</w:t>
      </w:r>
    </w:p>
  </w:footnote>
  <w:footnote w:id="45">
    <w:p w14:paraId="160210B1" w14:textId="77777777"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Decision 1/CP.16, para. 71 (d).</w:t>
      </w:r>
    </w:p>
  </w:footnote>
  <w:footnote w:id="46">
    <w:p w14:paraId="684723C6" w14:textId="77777777"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Decision 1/CP.16, Annex I, para. 2.</w:t>
      </w:r>
    </w:p>
  </w:footnote>
  <w:footnote w:id="47">
    <w:p w14:paraId="0C345C18" w14:textId="77777777"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Decision 2/CP.17, para. 63.</w:t>
      </w:r>
    </w:p>
  </w:footnote>
  <w:footnote w:id="48">
    <w:p w14:paraId="4FBDAD2E" w14:textId="77777777"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Constance L. McDermott </w:t>
      </w:r>
      <w:r w:rsidRPr="001D1CA1">
        <w:rPr>
          <w:i/>
          <w:szCs w:val="20"/>
        </w:rPr>
        <w:t>et al.</w:t>
      </w:r>
      <w:r w:rsidRPr="001D1CA1">
        <w:rPr>
          <w:szCs w:val="20"/>
        </w:rPr>
        <w:t>, “Operationalizing social safeguards in REDD + : actors , interests and ideas” (2012) 21 Environmental Science and Policy 63-72 at 64.</w:t>
      </w:r>
    </w:p>
  </w:footnote>
  <w:footnote w:id="49">
    <w:p w14:paraId="3AA99AD9" w14:textId="77777777"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See section 3.3 below where these safeguards are addressed in greater detail.</w:t>
      </w:r>
    </w:p>
  </w:footnote>
  <w:footnote w:id="50">
    <w:p w14:paraId="17A64835" w14:textId="40874F77" w:rsidR="002E53A9" w:rsidRPr="001D1CA1" w:rsidRDefault="002E53A9" w:rsidP="001D1CA1">
      <w:pPr>
        <w:pStyle w:val="FootnoteText"/>
        <w:rPr>
          <w:szCs w:val="20"/>
          <w:highlight w:val="yellow"/>
        </w:rPr>
      </w:pPr>
      <w:r w:rsidRPr="001D1CA1">
        <w:rPr>
          <w:rStyle w:val="FootnoteReference"/>
          <w:sz w:val="20"/>
          <w:szCs w:val="20"/>
        </w:rPr>
        <w:footnoteRef/>
      </w:r>
      <w:r w:rsidRPr="001D1CA1">
        <w:rPr>
          <w:szCs w:val="20"/>
        </w:rPr>
        <w:t xml:space="preserve"> Pamela Jagger, Kathleen Lawlor, Maria Brockhaus, Maria Fernanda Gebara, Denis Jean Sonwa &amp; Ida Aju Pradnja Resosudarmo, “</w:t>
      </w:r>
      <w:r w:rsidRPr="001D1CA1">
        <w:rPr>
          <w:bCs/>
          <w:szCs w:val="20"/>
        </w:rPr>
        <w:t xml:space="preserve">REDD+ safeguards in national policy discourse and pilot projects,” in </w:t>
      </w:r>
      <w:r w:rsidRPr="001D1CA1">
        <w:rPr>
          <w:szCs w:val="20"/>
        </w:rPr>
        <w:t xml:space="preserve">Angelsen </w:t>
      </w:r>
      <w:r w:rsidRPr="001D1CA1">
        <w:rPr>
          <w:i/>
          <w:szCs w:val="20"/>
        </w:rPr>
        <w:t>et al.</w:t>
      </w:r>
      <w:r w:rsidRPr="001D1CA1">
        <w:rPr>
          <w:szCs w:val="20"/>
        </w:rPr>
        <w:t xml:space="preserve">, </w:t>
      </w:r>
      <w:r w:rsidRPr="001D1CA1">
        <w:rPr>
          <w:i/>
          <w:szCs w:val="20"/>
        </w:rPr>
        <w:t>supra</w:t>
      </w:r>
      <w:r w:rsidRPr="001D1CA1">
        <w:rPr>
          <w:szCs w:val="20"/>
        </w:rPr>
        <w:t xml:space="preserve"> note </w:t>
      </w:r>
      <w:r>
        <w:rPr>
          <w:szCs w:val="20"/>
        </w:rPr>
        <w:fldChar w:fldCharType="begin"/>
      </w:r>
      <w:r>
        <w:rPr>
          <w:szCs w:val="20"/>
        </w:rPr>
        <w:instrText xml:space="preserve"> NOTEREF _Ref227652113 \h </w:instrText>
      </w:r>
      <w:r>
        <w:rPr>
          <w:szCs w:val="20"/>
        </w:rPr>
      </w:r>
      <w:r>
        <w:rPr>
          <w:szCs w:val="20"/>
        </w:rPr>
        <w:fldChar w:fldCharType="separate"/>
      </w:r>
      <w:r w:rsidR="000E69E4">
        <w:rPr>
          <w:szCs w:val="20"/>
        </w:rPr>
        <w:t>24</w:t>
      </w:r>
      <w:r>
        <w:rPr>
          <w:szCs w:val="20"/>
        </w:rPr>
        <w:fldChar w:fldCharType="end"/>
      </w:r>
      <w:r>
        <w:rPr>
          <w:szCs w:val="20"/>
        </w:rPr>
        <w:t xml:space="preserve">, </w:t>
      </w:r>
      <w:r w:rsidRPr="001D1CA1">
        <w:rPr>
          <w:szCs w:val="20"/>
        </w:rPr>
        <w:t>301-316.</w:t>
      </w:r>
    </w:p>
  </w:footnote>
  <w:footnote w:id="51">
    <w:p w14:paraId="612CD6C5" w14:textId="77777777"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Decision 2/CP 13, “Reducing emissions from deforestation in developing countries: approaches to stimulate action,” UN Doc. FCCC/CP/2007/6/Add.1, Annex. Indicative Guidance, para. 7.</w:t>
      </w:r>
    </w:p>
  </w:footnote>
  <w:footnote w:id="52">
    <w:p w14:paraId="10382247" w14:textId="77777777"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w:t>
      </w:r>
      <w:r w:rsidRPr="001D1CA1">
        <w:rPr>
          <w:i/>
          <w:szCs w:val="20"/>
        </w:rPr>
        <w:t xml:space="preserve">Ibid. </w:t>
      </w:r>
      <w:r w:rsidRPr="001D1CA1">
        <w:rPr>
          <w:szCs w:val="20"/>
        </w:rPr>
        <w:t>at para. 1, 3, 9-11.</w:t>
      </w:r>
    </w:p>
  </w:footnote>
  <w:footnote w:id="53">
    <w:p w14:paraId="5487C80C" w14:textId="4FC7E3DF"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w:t>
      </w:r>
      <w:r w:rsidRPr="001D1CA1">
        <w:rPr>
          <w:bCs/>
          <w:szCs w:val="20"/>
        </w:rPr>
        <w:t xml:space="preserve">Erin Sills, Erin Myers Madeira, William D. Sunderlin, &amp; Sheila Wertz-Kanounnikoff, “The evolving landscape of REDD+ projects,” </w:t>
      </w:r>
      <w:r w:rsidRPr="001D1CA1">
        <w:rPr>
          <w:szCs w:val="20"/>
        </w:rPr>
        <w:t xml:space="preserve">in Angelsen, </w:t>
      </w:r>
      <w:r w:rsidRPr="001D1CA1">
        <w:rPr>
          <w:i/>
          <w:szCs w:val="20"/>
        </w:rPr>
        <w:t>supra</w:t>
      </w:r>
      <w:r>
        <w:rPr>
          <w:szCs w:val="20"/>
        </w:rPr>
        <w:t xml:space="preserve"> </w:t>
      </w:r>
      <w:r w:rsidRPr="001D1CA1">
        <w:rPr>
          <w:bCs/>
          <w:szCs w:val="20"/>
        </w:rPr>
        <w:t xml:space="preserve">note </w:t>
      </w:r>
      <w:r w:rsidRPr="001D1CA1">
        <w:rPr>
          <w:bCs/>
          <w:szCs w:val="20"/>
        </w:rPr>
        <w:fldChar w:fldCharType="begin"/>
      </w:r>
      <w:r w:rsidRPr="001D1CA1">
        <w:rPr>
          <w:bCs/>
          <w:szCs w:val="20"/>
        </w:rPr>
        <w:instrText xml:space="preserve"> NOTEREF _Ref216339171 \h </w:instrText>
      </w:r>
      <w:r w:rsidRPr="001D1CA1">
        <w:rPr>
          <w:bCs/>
          <w:szCs w:val="20"/>
        </w:rPr>
      </w:r>
      <w:r w:rsidRPr="001D1CA1">
        <w:rPr>
          <w:bCs/>
          <w:szCs w:val="20"/>
        </w:rPr>
        <w:fldChar w:fldCharType="separate"/>
      </w:r>
      <w:r w:rsidR="000E69E4">
        <w:rPr>
          <w:bCs/>
          <w:szCs w:val="20"/>
        </w:rPr>
        <w:t>9</w:t>
      </w:r>
      <w:r w:rsidRPr="001D1CA1">
        <w:rPr>
          <w:bCs/>
          <w:szCs w:val="20"/>
        </w:rPr>
        <w:fldChar w:fldCharType="end"/>
      </w:r>
      <w:r w:rsidRPr="001D1CA1">
        <w:rPr>
          <w:szCs w:val="20"/>
        </w:rPr>
        <w:t>,</w:t>
      </w:r>
      <w:r w:rsidRPr="001D1CA1">
        <w:rPr>
          <w:bCs/>
          <w:szCs w:val="20"/>
        </w:rPr>
        <w:t xml:space="preserve"> 265-279 at 267-269.</w:t>
      </w:r>
    </w:p>
  </w:footnote>
  <w:footnote w:id="54">
    <w:p w14:paraId="78124E6C" w14:textId="66D3B037"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William D. Sunderlin &amp; Erin O. Sills, “REDD+ projects as a hybrid of old and new forest conservation approaches” in Angelsen </w:t>
      </w:r>
      <w:r w:rsidRPr="001D1CA1">
        <w:rPr>
          <w:i/>
          <w:szCs w:val="20"/>
        </w:rPr>
        <w:t>et al.</w:t>
      </w:r>
      <w:r w:rsidRPr="001D1CA1">
        <w:rPr>
          <w:szCs w:val="20"/>
        </w:rPr>
        <w:t xml:space="preserve">, </w:t>
      </w:r>
      <w:r w:rsidRPr="001D1CA1">
        <w:rPr>
          <w:i/>
          <w:szCs w:val="20"/>
        </w:rPr>
        <w:t>supra</w:t>
      </w:r>
      <w:r w:rsidRPr="001D1CA1">
        <w:rPr>
          <w:szCs w:val="20"/>
        </w:rPr>
        <w:t xml:space="preserve"> note </w:t>
      </w:r>
      <w:r>
        <w:rPr>
          <w:szCs w:val="20"/>
        </w:rPr>
        <w:fldChar w:fldCharType="begin"/>
      </w:r>
      <w:r>
        <w:rPr>
          <w:szCs w:val="20"/>
        </w:rPr>
        <w:instrText xml:space="preserve"> NOTEREF _Ref227652113 \h </w:instrText>
      </w:r>
      <w:r>
        <w:rPr>
          <w:szCs w:val="20"/>
        </w:rPr>
      </w:r>
      <w:r>
        <w:rPr>
          <w:szCs w:val="20"/>
        </w:rPr>
        <w:fldChar w:fldCharType="separate"/>
      </w:r>
      <w:r w:rsidR="000E69E4">
        <w:rPr>
          <w:szCs w:val="20"/>
        </w:rPr>
        <w:t>24</w:t>
      </w:r>
      <w:r>
        <w:rPr>
          <w:szCs w:val="20"/>
        </w:rPr>
        <w:fldChar w:fldCharType="end"/>
      </w:r>
      <w:r>
        <w:rPr>
          <w:szCs w:val="20"/>
        </w:rPr>
        <w:t xml:space="preserve">, </w:t>
      </w:r>
      <w:r w:rsidRPr="001D1CA1">
        <w:rPr>
          <w:szCs w:val="20"/>
        </w:rPr>
        <w:t>177-191.</w:t>
      </w:r>
    </w:p>
  </w:footnote>
  <w:footnote w:id="55">
    <w:p w14:paraId="71576BCF" w14:textId="77777777"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w:t>
      </w:r>
      <w:r w:rsidRPr="001D1CA1">
        <w:rPr>
          <w:i/>
          <w:szCs w:val="20"/>
        </w:rPr>
        <w:t>Ibid.</w:t>
      </w:r>
      <w:r w:rsidRPr="001D1CA1">
        <w:rPr>
          <w:szCs w:val="20"/>
        </w:rPr>
        <w:t xml:space="preserve"> at 184-185.</w:t>
      </w:r>
    </w:p>
  </w:footnote>
  <w:footnote w:id="56">
    <w:p w14:paraId="41CFD7AA" w14:textId="77777777"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Jagger </w:t>
      </w:r>
      <w:r w:rsidRPr="001D1CA1">
        <w:rPr>
          <w:i/>
          <w:szCs w:val="20"/>
        </w:rPr>
        <w:t>et al.</w:t>
      </w:r>
      <w:r w:rsidRPr="001D1CA1">
        <w:rPr>
          <w:szCs w:val="20"/>
        </w:rPr>
        <w:t xml:space="preserve">, </w:t>
      </w:r>
      <w:r w:rsidRPr="001D1CA1">
        <w:rPr>
          <w:i/>
          <w:szCs w:val="20"/>
        </w:rPr>
        <w:t>supra</w:t>
      </w:r>
      <w:r w:rsidRPr="001D1CA1">
        <w:rPr>
          <w:szCs w:val="20"/>
        </w:rPr>
        <w:t xml:space="preserve"> note </w:t>
      </w:r>
      <w:r w:rsidRPr="001D1CA1">
        <w:rPr>
          <w:szCs w:val="20"/>
        </w:rPr>
        <w:fldChar w:fldCharType="begin"/>
      </w:r>
      <w:r w:rsidRPr="001D1CA1">
        <w:rPr>
          <w:szCs w:val="20"/>
        </w:rPr>
        <w:instrText xml:space="preserve"> NOTEREF _Ref216425846 \h </w:instrText>
      </w:r>
      <w:r w:rsidRPr="001D1CA1">
        <w:rPr>
          <w:szCs w:val="20"/>
        </w:rPr>
      </w:r>
      <w:r w:rsidRPr="001D1CA1">
        <w:rPr>
          <w:szCs w:val="20"/>
        </w:rPr>
        <w:fldChar w:fldCharType="separate"/>
      </w:r>
      <w:r w:rsidR="000E69E4">
        <w:rPr>
          <w:szCs w:val="20"/>
        </w:rPr>
        <w:t>49</w:t>
      </w:r>
      <w:r w:rsidRPr="001D1CA1">
        <w:rPr>
          <w:szCs w:val="20"/>
        </w:rPr>
        <w:fldChar w:fldCharType="end"/>
      </w:r>
      <w:r w:rsidRPr="001D1CA1">
        <w:rPr>
          <w:szCs w:val="20"/>
        </w:rPr>
        <w:t xml:space="preserve"> (discussing the learning potential of emerging systems for social and environmental safeguards).</w:t>
      </w:r>
    </w:p>
  </w:footnote>
  <w:footnote w:id="57">
    <w:p w14:paraId="5D916B26" w14:textId="3038FD34"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w:t>
      </w:r>
      <w:r>
        <w:rPr>
          <w:szCs w:val="20"/>
        </w:rPr>
        <w:t xml:space="preserve">Frances </w:t>
      </w:r>
      <w:r>
        <w:rPr>
          <w:szCs w:val="20"/>
          <w:lang w:val="en-US"/>
        </w:rPr>
        <w:t>Seymour &amp; Arild Angelsen, “</w:t>
      </w:r>
      <w:r w:rsidRPr="00181DA8">
        <w:rPr>
          <w:szCs w:val="20"/>
          <w:lang w:val="en-US"/>
        </w:rPr>
        <w:t>Summary and conclusions: REDD wine in old wineskins?</w:t>
      </w:r>
      <w:r>
        <w:rPr>
          <w:szCs w:val="20"/>
          <w:lang w:val="en-US"/>
        </w:rPr>
        <w:t>” in Arild</w:t>
      </w:r>
      <w:r w:rsidRPr="00181DA8">
        <w:rPr>
          <w:i/>
          <w:iCs/>
          <w:szCs w:val="20"/>
          <w:lang w:val="en-US"/>
        </w:rPr>
        <w:t xml:space="preserve"> </w:t>
      </w:r>
      <w:r>
        <w:rPr>
          <w:szCs w:val="20"/>
          <w:lang w:val="en-US"/>
        </w:rPr>
        <w:t>Angelsen, Maria Brockhaus, Markku Kanninen,</w:t>
      </w:r>
      <w:r w:rsidRPr="00181DA8">
        <w:rPr>
          <w:szCs w:val="20"/>
          <w:lang w:val="en-US"/>
        </w:rPr>
        <w:t xml:space="preserve"> </w:t>
      </w:r>
      <w:r>
        <w:rPr>
          <w:szCs w:val="20"/>
          <w:lang w:val="en-US"/>
        </w:rPr>
        <w:t>Erin Sills, William D. Sunderlin &amp; Sheila Wertz-Kanounnikoff,</w:t>
      </w:r>
      <w:r w:rsidRPr="00181DA8">
        <w:rPr>
          <w:szCs w:val="20"/>
          <w:lang w:val="en-US"/>
        </w:rPr>
        <w:t xml:space="preserve"> (eds) </w:t>
      </w:r>
      <w:r w:rsidRPr="00181DA8">
        <w:rPr>
          <w:i/>
          <w:szCs w:val="20"/>
          <w:lang w:val="en-US"/>
        </w:rPr>
        <w:t>Realising REDD+: national strategy and policy options,</w:t>
      </w:r>
      <w:r w:rsidRPr="00181DA8">
        <w:rPr>
          <w:szCs w:val="20"/>
          <w:lang w:val="en-US"/>
        </w:rPr>
        <w:t xml:space="preserve"> 2</w:t>
      </w:r>
      <w:r>
        <w:rPr>
          <w:szCs w:val="20"/>
          <w:lang w:val="en-US"/>
        </w:rPr>
        <w:t xml:space="preserve">93-303. (Bogor, Indonesia: CIFOR, 2009) 293-303 at </w:t>
      </w:r>
      <w:r w:rsidRPr="001D1CA1">
        <w:rPr>
          <w:bCs/>
          <w:szCs w:val="20"/>
        </w:rPr>
        <w:t>297.</w:t>
      </w:r>
    </w:p>
  </w:footnote>
  <w:footnote w:id="58">
    <w:p w14:paraId="2EC87B34" w14:textId="27292F5E"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Jagger </w:t>
      </w:r>
      <w:r w:rsidRPr="001D1CA1">
        <w:rPr>
          <w:i/>
          <w:szCs w:val="20"/>
        </w:rPr>
        <w:t>et al.</w:t>
      </w:r>
      <w:r w:rsidRPr="001D1CA1">
        <w:rPr>
          <w:szCs w:val="20"/>
        </w:rPr>
        <w:t xml:space="preserve">, </w:t>
      </w:r>
      <w:r w:rsidRPr="001D1CA1">
        <w:rPr>
          <w:i/>
          <w:szCs w:val="20"/>
        </w:rPr>
        <w:t>supra</w:t>
      </w:r>
      <w:r w:rsidRPr="001D1CA1">
        <w:rPr>
          <w:szCs w:val="20"/>
        </w:rPr>
        <w:t xml:space="preserve"> note </w:t>
      </w:r>
      <w:r w:rsidRPr="001D1CA1">
        <w:rPr>
          <w:szCs w:val="20"/>
        </w:rPr>
        <w:fldChar w:fldCharType="begin"/>
      </w:r>
      <w:r w:rsidRPr="001D1CA1">
        <w:rPr>
          <w:szCs w:val="20"/>
        </w:rPr>
        <w:instrText xml:space="preserve"> NOTEREF _Ref216425846 \h </w:instrText>
      </w:r>
      <w:r w:rsidRPr="001D1CA1">
        <w:rPr>
          <w:szCs w:val="20"/>
        </w:rPr>
      </w:r>
      <w:r w:rsidRPr="001D1CA1">
        <w:rPr>
          <w:szCs w:val="20"/>
        </w:rPr>
        <w:fldChar w:fldCharType="separate"/>
      </w:r>
      <w:r w:rsidR="000E69E4">
        <w:rPr>
          <w:szCs w:val="20"/>
        </w:rPr>
        <w:t>49</w:t>
      </w:r>
      <w:r w:rsidRPr="001D1CA1">
        <w:rPr>
          <w:szCs w:val="20"/>
        </w:rPr>
        <w:fldChar w:fldCharType="end"/>
      </w:r>
      <w:r>
        <w:rPr>
          <w:szCs w:val="20"/>
        </w:rPr>
        <w:t xml:space="preserve"> </w:t>
      </w:r>
      <w:r w:rsidRPr="001D1CA1">
        <w:rPr>
          <w:szCs w:val="20"/>
        </w:rPr>
        <w:t>at 281-282.</w:t>
      </w:r>
    </w:p>
  </w:footnote>
  <w:footnote w:id="59">
    <w:p w14:paraId="5C2B5108" w14:textId="77777777" w:rsidR="002E53A9" w:rsidRPr="001D1CA1" w:rsidRDefault="002E53A9" w:rsidP="001D1CA1">
      <w:pPr>
        <w:rPr>
          <w:bCs/>
          <w:sz w:val="20"/>
          <w:szCs w:val="20"/>
        </w:rPr>
      </w:pPr>
      <w:r w:rsidRPr="001D1CA1">
        <w:rPr>
          <w:rStyle w:val="FootnoteReference"/>
          <w:sz w:val="20"/>
          <w:szCs w:val="20"/>
        </w:rPr>
        <w:footnoteRef/>
      </w:r>
      <w:r w:rsidRPr="001D1CA1">
        <w:rPr>
          <w:sz w:val="20"/>
          <w:szCs w:val="20"/>
        </w:rPr>
        <w:t xml:space="preserve"> </w:t>
      </w:r>
      <w:r w:rsidRPr="001D1CA1">
        <w:rPr>
          <w:bCs/>
          <w:sz w:val="20"/>
          <w:szCs w:val="20"/>
        </w:rPr>
        <w:t xml:space="preserve">Sills </w:t>
      </w:r>
      <w:r w:rsidRPr="001D1CA1">
        <w:rPr>
          <w:bCs/>
          <w:i/>
          <w:sz w:val="20"/>
          <w:szCs w:val="20"/>
        </w:rPr>
        <w:t>et al.</w:t>
      </w:r>
      <w:r w:rsidRPr="001D1CA1">
        <w:rPr>
          <w:sz w:val="20"/>
          <w:szCs w:val="20"/>
        </w:rPr>
        <w:t xml:space="preserve">, </w:t>
      </w:r>
      <w:r w:rsidRPr="001D1CA1">
        <w:rPr>
          <w:i/>
          <w:sz w:val="20"/>
          <w:szCs w:val="20"/>
        </w:rPr>
        <w:t>supra</w:t>
      </w:r>
      <w:r w:rsidRPr="001D1CA1">
        <w:rPr>
          <w:sz w:val="20"/>
          <w:szCs w:val="20"/>
        </w:rPr>
        <w:t xml:space="preserve"> note </w:t>
      </w:r>
      <w:r w:rsidRPr="001D1CA1">
        <w:rPr>
          <w:sz w:val="20"/>
          <w:szCs w:val="20"/>
        </w:rPr>
        <w:fldChar w:fldCharType="begin"/>
      </w:r>
      <w:r w:rsidRPr="001D1CA1">
        <w:rPr>
          <w:sz w:val="20"/>
          <w:szCs w:val="20"/>
        </w:rPr>
        <w:instrText xml:space="preserve"> NOTEREF _Ref216344776 \h </w:instrText>
      </w:r>
      <w:r w:rsidRPr="001D1CA1">
        <w:rPr>
          <w:sz w:val="20"/>
          <w:szCs w:val="20"/>
        </w:rPr>
      </w:r>
      <w:r w:rsidRPr="001D1CA1">
        <w:rPr>
          <w:sz w:val="20"/>
          <w:szCs w:val="20"/>
        </w:rPr>
        <w:fldChar w:fldCharType="separate"/>
      </w:r>
      <w:r w:rsidR="000E69E4">
        <w:rPr>
          <w:sz w:val="20"/>
          <w:szCs w:val="20"/>
        </w:rPr>
        <w:t>52</w:t>
      </w:r>
      <w:r w:rsidRPr="001D1CA1">
        <w:rPr>
          <w:sz w:val="20"/>
          <w:szCs w:val="20"/>
        </w:rPr>
        <w:fldChar w:fldCharType="end"/>
      </w:r>
      <w:r w:rsidRPr="001D1CA1">
        <w:rPr>
          <w:sz w:val="20"/>
          <w:szCs w:val="20"/>
        </w:rPr>
        <w:t xml:space="preserve"> </w:t>
      </w:r>
      <w:r w:rsidRPr="001D1CA1">
        <w:rPr>
          <w:bCs/>
          <w:sz w:val="20"/>
          <w:szCs w:val="20"/>
        </w:rPr>
        <w:t xml:space="preserve">at </w:t>
      </w:r>
      <w:r w:rsidRPr="001D1CA1">
        <w:rPr>
          <w:sz w:val="20"/>
          <w:szCs w:val="20"/>
        </w:rPr>
        <w:t>276-277.</w:t>
      </w:r>
    </w:p>
  </w:footnote>
  <w:footnote w:id="60">
    <w:p w14:paraId="04D08344" w14:textId="77777777"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Jagger </w:t>
      </w:r>
      <w:r w:rsidRPr="001D1CA1">
        <w:rPr>
          <w:i/>
          <w:szCs w:val="20"/>
        </w:rPr>
        <w:t>et al.</w:t>
      </w:r>
      <w:r w:rsidRPr="001D1CA1">
        <w:rPr>
          <w:szCs w:val="20"/>
        </w:rPr>
        <w:t xml:space="preserve">, </w:t>
      </w:r>
      <w:r w:rsidRPr="001D1CA1">
        <w:rPr>
          <w:i/>
          <w:szCs w:val="20"/>
        </w:rPr>
        <w:t xml:space="preserve">supra </w:t>
      </w:r>
      <w:r w:rsidRPr="001D1CA1">
        <w:rPr>
          <w:szCs w:val="20"/>
        </w:rPr>
        <w:t xml:space="preserve">note </w:t>
      </w:r>
      <w:r w:rsidRPr="001D1CA1">
        <w:rPr>
          <w:szCs w:val="20"/>
        </w:rPr>
        <w:fldChar w:fldCharType="begin"/>
      </w:r>
      <w:r w:rsidRPr="001D1CA1">
        <w:rPr>
          <w:szCs w:val="20"/>
        </w:rPr>
        <w:instrText xml:space="preserve"> NOTEREF _Ref216345667 \h </w:instrText>
      </w:r>
      <w:r w:rsidRPr="001D1CA1">
        <w:rPr>
          <w:szCs w:val="20"/>
        </w:rPr>
      </w:r>
      <w:r w:rsidRPr="001D1CA1">
        <w:rPr>
          <w:szCs w:val="20"/>
        </w:rPr>
        <w:fldChar w:fldCharType="separate"/>
      </w:r>
      <w:r w:rsidR="000E69E4">
        <w:rPr>
          <w:szCs w:val="20"/>
        </w:rPr>
        <w:t>55</w:t>
      </w:r>
      <w:r w:rsidRPr="001D1CA1">
        <w:rPr>
          <w:szCs w:val="20"/>
        </w:rPr>
        <w:fldChar w:fldCharType="end"/>
      </w:r>
      <w:r w:rsidRPr="001D1CA1">
        <w:rPr>
          <w:szCs w:val="20"/>
        </w:rPr>
        <w:t>.</w:t>
      </w:r>
    </w:p>
  </w:footnote>
  <w:footnote w:id="61">
    <w:p w14:paraId="4E4875A2" w14:textId="37F8FFF9" w:rsidR="002E53A9" w:rsidRPr="00181DA8" w:rsidRDefault="002E53A9" w:rsidP="001D1CA1">
      <w:pPr>
        <w:pStyle w:val="FootnoteText"/>
        <w:rPr>
          <w:szCs w:val="20"/>
          <w:lang w:val="en-US"/>
        </w:rPr>
      </w:pPr>
      <w:r w:rsidRPr="001D1CA1">
        <w:rPr>
          <w:rStyle w:val="FootnoteReference"/>
          <w:sz w:val="20"/>
          <w:szCs w:val="20"/>
        </w:rPr>
        <w:footnoteRef/>
      </w:r>
      <w:r w:rsidRPr="001D1CA1">
        <w:rPr>
          <w:szCs w:val="20"/>
        </w:rPr>
        <w:t xml:space="preserve"> </w:t>
      </w:r>
      <w:r>
        <w:rPr>
          <w:szCs w:val="20"/>
          <w:lang w:val="en-US"/>
        </w:rPr>
        <w:t xml:space="preserve">Seymour &amp; Angelsen, </w:t>
      </w:r>
      <w:r w:rsidRPr="00E70DE7">
        <w:rPr>
          <w:i/>
          <w:szCs w:val="20"/>
          <w:lang w:val="en-US"/>
        </w:rPr>
        <w:t>supra</w:t>
      </w:r>
      <w:r>
        <w:rPr>
          <w:szCs w:val="20"/>
          <w:lang w:val="en-US"/>
        </w:rPr>
        <w:t xml:space="preserve"> note </w:t>
      </w:r>
      <w:r>
        <w:rPr>
          <w:szCs w:val="20"/>
          <w:lang w:val="en-US"/>
        </w:rPr>
        <w:fldChar w:fldCharType="begin"/>
      </w:r>
      <w:r>
        <w:rPr>
          <w:szCs w:val="20"/>
          <w:lang w:val="en-US"/>
        </w:rPr>
        <w:instrText xml:space="preserve"> NOTEREF _Ref227652780 \h </w:instrText>
      </w:r>
      <w:r>
        <w:rPr>
          <w:szCs w:val="20"/>
          <w:lang w:val="en-US"/>
        </w:rPr>
      </w:r>
      <w:r>
        <w:rPr>
          <w:szCs w:val="20"/>
          <w:lang w:val="en-US"/>
        </w:rPr>
        <w:fldChar w:fldCharType="separate"/>
      </w:r>
      <w:r w:rsidR="000E69E4">
        <w:rPr>
          <w:szCs w:val="20"/>
          <w:lang w:val="en-US"/>
        </w:rPr>
        <w:t>56</w:t>
      </w:r>
      <w:r>
        <w:rPr>
          <w:szCs w:val="20"/>
          <w:lang w:val="en-US"/>
        </w:rPr>
        <w:fldChar w:fldCharType="end"/>
      </w:r>
      <w:r>
        <w:rPr>
          <w:szCs w:val="20"/>
          <w:lang w:val="en-US"/>
        </w:rPr>
        <w:t xml:space="preserve"> at </w:t>
      </w:r>
      <w:r>
        <w:rPr>
          <w:bCs/>
          <w:szCs w:val="20"/>
        </w:rPr>
        <w:t xml:space="preserve">297; </w:t>
      </w:r>
      <w:r>
        <w:rPr>
          <w:szCs w:val="20"/>
        </w:rPr>
        <w:t xml:space="preserve">Sills, </w:t>
      </w:r>
      <w:r w:rsidRPr="00DA403F">
        <w:rPr>
          <w:i/>
          <w:szCs w:val="20"/>
        </w:rPr>
        <w:t>supra</w:t>
      </w:r>
      <w:r>
        <w:rPr>
          <w:szCs w:val="20"/>
        </w:rPr>
        <w:t xml:space="preserve"> note </w:t>
      </w:r>
      <w:r>
        <w:rPr>
          <w:szCs w:val="20"/>
        </w:rPr>
        <w:fldChar w:fldCharType="begin"/>
      </w:r>
      <w:r>
        <w:rPr>
          <w:szCs w:val="20"/>
        </w:rPr>
        <w:instrText xml:space="preserve"> NOTEREF _Ref216344776 \h </w:instrText>
      </w:r>
      <w:r>
        <w:rPr>
          <w:szCs w:val="20"/>
        </w:rPr>
      </w:r>
      <w:r>
        <w:rPr>
          <w:szCs w:val="20"/>
        </w:rPr>
        <w:fldChar w:fldCharType="separate"/>
      </w:r>
      <w:r w:rsidR="000E69E4">
        <w:rPr>
          <w:szCs w:val="20"/>
        </w:rPr>
        <w:t>52</w:t>
      </w:r>
      <w:r>
        <w:rPr>
          <w:szCs w:val="20"/>
        </w:rPr>
        <w:fldChar w:fldCharType="end"/>
      </w:r>
      <w:r>
        <w:rPr>
          <w:szCs w:val="20"/>
        </w:rPr>
        <w:t xml:space="preserve"> at 269.</w:t>
      </w:r>
    </w:p>
  </w:footnote>
  <w:footnote w:id="62">
    <w:p w14:paraId="3CA59E15" w14:textId="33FE401E"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w:t>
      </w:r>
      <w:r w:rsidRPr="00F56EF0">
        <w:rPr>
          <w:szCs w:val="20"/>
        </w:rPr>
        <w:t xml:space="preserve">Frances Seymour &amp; Arild Angelsen, “Summary and conclusions REDD+ without regrets,” in Angelsen </w:t>
      </w:r>
      <w:r w:rsidRPr="00F56EF0">
        <w:rPr>
          <w:i/>
          <w:szCs w:val="20"/>
        </w:rPr>
        <w:t>et al.</w:t>
      </w:r>
      <w:r w:rsidRPr="00F56EF0">
        <w:rPr>
          <w:szCs w:val="20"/>
        </w:rPr>
        <w:t xml:space="preserve">, </w:t>
      </w:r>
      <w:r w:rsidRPr="00F56EF0">
        <w:rPr>
          <w:i/>
          <w:szCs w:val="20"/>
        </w:rPr>
        <w:t>supra</w:t>
      </w:r>
      <w:r w:rsidRPr="00F56EF0">
        <w:rPr>
          <w:szCs w:val="20"/>
        </w:rPr>
        <w:t xml:space="preserve"> note</w:t>
      </w:r>
      <w:r>
        <w:rPr>
          <w:szCs w:val="20"/>
        </w:rPr>
        <w:t xml:space="preserve"> </w:t>
      </w:r>
      <w:r>
        <w:rPr>
          <w:szCs w:val="20"/>
        </w:rPr>
        <w:fldChar w:fldCharType="begin"/>
      </w:r>
      <w:r>
        <w:rPr>
          <w:szCs w:val="20"/>
        </w:rPr>
        <w:instrText xml:space="preserve"> NOTEREF _Ref227652113 \h </w:instrText>
      </w:r>
      <w:r>
        <w:rPr>
          <w:szCs w:val="20"/>
        </w:rPr>
      </w:r>
      <w:r>
        <w:rPr>
          <w:szCs w:val="20"/>
        </w:rPr>
        <w:fldChar w:fldCharType="separate"/>
      </w:r>
      <w:r w:rsidR="000E69E4">
        <w:rPr>
          <w:szCs w:val="20"/>
        </w:rPr>
        <w:t>24</w:t>
      </w:r>
      <w:r>
        <w:rPr>
          <w:szCs w:val="20"/>
        </w:rPr>
        <w:fldChar w:fldCharType="end"/>
      </w:r>
      <w:r>
        <w:rPr>
          <w:szCs w:val="20"/>
        </w:rPr>
        <w:t>, 317-334 at</w:t>
      </w:r>
      <w:r w:rsidRPr="00F56EF0">
        <w:rPr>
          <w:szCs w:val="20"/>
        </w:rPr>
        <w:t xml:space="preserve"> </w:t>
      </w:r>
      <w:r w:rsidRPr="001D1CA1">
        <w:rPr>
          <w:szCs w:val="20"/>
        </w:rPr>
        <w:t>333.</w:t>
      </w:r>
    </w:p>
  </w:footnote>
  <w:footnote w:id="63">
    <w:p w14:paraId="15521FF3" w14:textId="16D3F864"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Angelsen &amp; McNeill, </w:t>
      </w:r>
      <w:r w:rsidRPr="001D1CA1">
        <w:rPr>
          <w:i/>
          <w:szCs w:val="20"/>
        </w:rPr>
        <w:t>supra</w:t>
      </w:r>
      <w:r w:rsidRPr="001D1CA1">
        <w:rPr>
          <w:szCs w:val="20"/>
        </w:rPr>
        <w:t xml:space="preserve"> note at 43.</w:t>
      </w:r>
    </w:p>
  </w:footnote>
  <w:footnote w:id="64">
    <w:p w14:paraId="0AA06F84" w14:textId="77777777"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Jagger </w:t>
      </w:r>
      <w:r w:rsidRPr="001D1CA1">
        <w:rPr>
          <w:i/>
          <w:szCs w:val="20"/>
        </w:rPr>
        <w:t>et al.</w:t>
      </w:r>
      <w:r w:rsidRPr="001D1CA1">
        <w:rPr>
          <w:szCs w:val="20"/>
        </w:rPr>
        <w:t xml:space="preserve">, </w:t>
      </w:r>
      <w:r w:rsidRPr="001D1CA1">
        <w:rPr>
          <w:i/>
          <w:szCs w:val="20"/>
        </w:rPr>
        <w:t>supra</w:t>
      </w:r>
      <w:r w:rsidRPr="001D1CA1">
        <w:rPr>
          <w:szCs w:val="20"/>
        </w:rPr>
        <w:t xml:space="preserve"> note </w:t>
      </w:r>
      <w:r w:rsidRPr="001D1CA1">
        <w:rPr>
          <w:szCs w:val="20"/>
        </w:rPr>
        <w:fldChar w:fldCharType="begin"/>
      </w:r>
      <w:r w:rsidRPr="001D1CA1">
        <w:rPr>
          <w:szCs w:val="20"/>
        </w:rPr>
        <w:instrText xml:space="preserve"> NOTEREF _Ref216425846 \h </w:instrText>
      </w:r>
      <w:r w:rsidRPr="001D1CA1">
        <w:rPr>
          <w:szCs w:val="20"/>
        </w:rPr>
      </w:r>
      <w:r w:rsidRPr="001D1CA1">
        <w:rPr>
          <w:szCs w:val="20"/>
        </w:rPr>
        <w:fldChar w:fldCharType="separate"/>
      </w:r>
      <w:r w:rsidR="000E69E4">
        <w:rPr>
          <w:szCs w:val="20"/>
        </w:rPr>
        <w:t>49</w:t>
      </w:r>
      <w:r w:rsidRPr="001D1CA1">
        <w:rPr>
          <w:szCs w:val="20"/>
        </w:rPr>
        <w:fldChar w:fldCharType="end"/>
      </w:r>
      <w:r w:rsidRPr="001D1CA1">
        <w:rPr>
          <w:szCs w:val="20"/>
        </w:rPr>
        <w:t>; André Rodrigues De Aquino, André Aasrud &amp; Leticia Guimarães, “Can Forest Carbon Finance Influence Land Tenure Security in Project Areas ? Preliminary Lessons from Projects in Niger and Kenya” (2011) 8 Advances in Agroforestry 231-246. See also the discussion in section 3.3 below.</w:t>
      </w:r>
    </w:p>
  </w:footnote>
  <w:footnote w:id="65">
    <w:p w14:paraId="47E2E44F" w14:textId="77777777"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“UN-REDD Programme,” available at: http://www.un-redd.org/.</w:t>
      </w:r>
    </w:p>
  </w:footnote>
  <w:footnote w:id="66">
    <w:p w14:paraId="665D7DDE" w14:textId="77777777"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Lauren Williams &amp; Crystal Davis, “Getting Ready with Forest Governance: A Review of the Forest Carbon Partnership Facility Readiness Preparation Proposals and the UN-REDD National Progamme Documents” (World Resources Institute Working Paper, Version 1.9, March 2012) at 3.</w:t>
      </w:r>
    </w:p>
  </w:footnote>
  <w:footnote w:id="67">
    <w:p w14:paraId="2BB29F51" w14:textId="77777777"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“The Forest Carbon Partnership Facility,” available at: http://www.forestcarbonpartnership.org/fcp/.</w:t>
      </w:r>
    </w:p>
  </w:footnote>
  <w:footnote w:id="68">
    <w:p w14:paraId="7E96AEF4" w14:textId="77777777"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Williams &amp; Davis,</w:t>
      </w:r>
      <w:r w:rsidRPr="001D1CA1">
        <w:rPr>
          <w:i/>
          <w:szCs w:val="20"/>
        </w:rPr>
        <w:t xml:space="preserve"> supra</w:t>
      </w:r>
      <w:r w:rsidRPr="001D1CA1">
        <w:rPr>
          <w:szCs w:val="20"/>
        </w:rPr>
        <w:t xml:space="preserve"> note </w:t>
      </w:r>
      <w:r w:rsidRPr="001D1CA1">
        <w:rPr>
          <w:szCs w:val="20"/>
        </w:rPr>
        <w:fldChar w:fldCharType="begin"/>
      </w:r>
      <w:r w:rsidRPr="001D1CA1">
        <w:rPr>
          <w:szCs w:val="20"/>
        </w:rPr>
        <w:instrText xml:space="preserve"> NOTEREF _Ref216429083 \h </w:instrText>
      </w:r>
      <w:r w:rsidRPr="001D1CA1">
        <w:rPr>
          <w:szCs w:val="20"/>
        </w:rPr>
      </w:r>
      <w:r w:rsidRPr="001D1CA1">
        <w:rPr>
          <w:szCs w:val="20"/>
        </w:rPr>
        <w:fldChar w:fldCharType="separate"/>
      </w:r>
      <w:r w:rsidR="000E69E4">
        <w:rPr>
          <w:szCs w:val="20"/>
        </w:rPr>
        <w:t>65</w:t>
      </w:r>
      <w:r w:rsidRPr="001D1CA1">
        <w:rPr>
          <w:szCs w:val="20"/>
        </w:rPr>
        <w:fldChar w:fldCharType="end"/>
      </w:r>
      <w:r w:rsidRPr="001D1CA1">
        <w:rPr>
          <w:szCs w:val="20"/>
        </w:rPr>
        <w:t xml:space="preserve"> at 3.</w:t>
      </w:r>
    </w:p>
  </w:footnote>
  <w:footnote w:id="69">
    <w:p w14:paraId="75C2C03F" w14:textId="77777777"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w:t>
      </w:r>
      <w:r w:rsidRPr="001D1CA1">
        <w:rPr>
          <w:i/>
          <w:szCs w:val="20"/>
        </w:rPr>
        <w:t>REDD+ Partnership</w:t>
      </w:r>
      <w:r w:rsidRPr="001D1CA1">
        <w:rPr>
          <w:szCs w:val="20"/>
        </w:rPr>
        <w:t>, adopted 27 May 2010, available at:</w:t>
      </w:r>
    </w:p>
    <w:p w14:paraId="4B562999" w14:textId="77777777" w:rsidR="002E53A9" w:rsidRPr="001D1CA1" w:rsidRDefault="002E53A9" w:rsidP="001D1CA1">
      <w:pPr>
        <w:pStyle w:val="FootnoteText"/>
        <w:rPr>
          <w:szCs w:val="20"/>
        </w:rPr>
      </w:pPr>
      <w:r w:rsidRPr="001D1CA1">
        <w:rPr>
          <w:szCs w:val="20"/>
        </w:rPr>
        <w:t>http://www.oslocfc2010.no/pop.cfm?FuseAction=Doc&amp;pAction=View&amp;pDocumentId=25019, at 1.</w:t>
      </w:r>
    </w:p>
  </w:footnote>
  <w:footnote w:id="70">
    <w:p w14:paraId="43869E09" w14:textId="77777777"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Patrick Hardcastle, Deborah Davenport, Phil Cowling &amp; Charlene Watson, “Discussion of Effectiveness of Multilateral REDD+ Initiatives” (IDL Group, 2012) at 39-40.</w:t>
      </w:r>
    </w:p>
  </w:footnote>
  <w:footnote w:id="71">
    <w:p w14:paraId="1E6995BD" w14:textId="77777777"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CIF, “Forest Investment Program,” available at: http://www.climateinvestmentfunds.org/cif/node/5. </w:t>
      </w:r>
    </w:p>
  </w:footnote>
  <w:footnote w:id="72">
    <w:p w14:paraId="53A23EAA" w14:textId="77777777"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GEF, “Sustainable Forest Management (SFM) / REDD+,” available at: http://www.thegef.org/gef/SFM. </w:t>
      </w:r>
    </w:p>
  </w:footnote>
  <w:footnote w:id="73">
    <w:p w14:paraId="124AD2C8" w14:textId="77777777"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See “Congo Forest Basin Fund,” available at: http://www.cbf-fund.org/. </w:t>
      </w:r>
    </w:p>
  </w:footnote>
  <w:footnote w:id="74">
    <w:p w14:paraId="5B850005" w14:textId="77777777" w:rsidR="002E53A9" w:rsidRPr="001D1CA1" w:rsidRDefault="002E53A9" w:rsidP="001D1CA1">
      <w:pPr>
        <w:pStyle w:val="FootnoteText"/>
        <w:rPr>
          <w:bCs/>
          <w:szCs w:val="20"/>
        </w:rPr>
      </w:pPr>
      <w:r w:rsidRPr="001D1CA1">
        <w:rPr>
          <w:rStyle w:val="FootnoteReference"/>
          <w:sz w:val="20"/>
          <w:szCs w:val="20"/>
        </w:rPr>
        <w:footnoteRef/>
      </w:r>
      <w:r w:rsidRPr="001D1CA1">
        <w:rPr>
          <w:szCs w:val="20"/>
        </w:rPr>
        <w:t xml:space="preserve"> Ministry of the Environment, ‘</w:t>
      </w:r>
      <w:r w:rsidRPr="001D1CA1">
        <w:rPr>
          <w:bCs/>
          <w:szCs w:val="20"/>
        </w:rPr>
        <w:t xml:space="preserve">The Government of Norway's International Climate and Forest Initiative,” available at: </w:t>
      </w:r>
      <w:r w:rsidRPr="001D1CA1">
        <w:rPr>
          <w:szCs w:val="20"/>
        </w:rPr>
        <w:t>http://www.regjeringen.no/en/dep/md/Selected-topics/climate/the-government-of-norways-international-.html?id=548491.</w:t>
      </w:r>
    </w:p>
  </w:footnote>
  <w:footnote w:id="75">
    <w:p w14:paraId="185EB6F5" w14:textId="77777777"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NORAD, “Real-Time Evaluation of Norway’s International Climate and Forest Initiative. Contributions to a Global REDD+ Regime 2007-2010,” March 2011, available at: &lt;http://www.regjeringen.no/upload/MD/2011/vedlegg/klima/klima_skogprosjektet/Evalueringsrapportene/Report_12_2010_Global_web.pdf&gt; at xiv.</w:t>
      </w:r>
    </w:p>
  </w:footnote>
  <w:footnote w:id="76">
    <w:p w14:paraId="049D8124" w14:textId="77777777"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Australian Department of Climate Change and Energy Efficiency (DCCEE) &amp; AusAID,  “</w:t>
      </w:r>
      <w:r w:rsidRPr="001D1CA1">
        <w:rPr>
          <w:bCs/>
          <w:szCs w:val="20"/>
        </w:rPr>
        <w:t>International Forest Carbon Initiative</w:t>
      </w:r>
      <w:r w:rsidRPr="001D1CA1">
        <w:rPr>
          <w:szCs w:val="20"/>
        </w:rPr>
        <w:t>,” available at: &lt;http://www.climatechange.gov.au/government/initiatives/international-forest-carbon-initiative.aspx&gt;.</w:t>
      </w:r>
    </w:p>
  </w:footnote>
  <w:footnote w:id="77">
    <w:p w14:paraId="296FF508" w14:textId="77777777"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GIZ, “Forests and Climate Change Programme,” available at: &lt;http://www.forclime.org&gt;.</w:t>
      </w:r>
    </w:p>
  </w:footnote>
  <w:footnote w:id="78">
    <w:p w14:paraId="4717FB2A" w14:textId="77777777"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USAID, “US REDD+ Strategy,” available at: &lt;http://transition.usaid.gov/climate/redd/&gt;.</w:t>
      </w:r>
    </w:p>
  </w:footnote>
  <w:footnote w:id="79">
    <w:p w14:paraId="7E0B4A21" w14:textId="77777777"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Rocío Hiraldo &amp; Thomas Tanner, “The Global Political Economy of REDD+: Engaging Social Dimensions in the Emerging Green Economy” (UNRISD, Social Dimensions of Green Economy and Sustainable Development, Occasional Paper Number 4, 2011).</w:t>
      </w:r>
    </w:p>
  </w:footnote>
  <w:footnote w:id="80">
    <w:p w14:paraId="1227C5F5" w14:textId="77777777"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See, </w:t>
      </w:r>
      <w:r w:rsidRPr="001D1CA1">
        <w:rPr>
          <w:i/>
          <w:szCs w:val="20"/>
        </w:rPr>
        <w:t>e.g.</w:t>
      </w:r>
      <w:r w:rsidRPr="001D1CA1">
        <w:rPr>
          <w:szCs w:val="20"/>
        </w:rPr>
        <w:t>, CCBA, “Climate, Community and Biodiversity Project Design Standards,” 2</w:t>
      </w:r>
      <w:r w:rsidRPr="001D1CA1">
        <w:rPr>
          <w:szCs w:val="20"/>
          <w:vertAlign w:val="superscript"/>
        </w:rPr>
        <w:t>nd</w:t>
      </w:r>
      <w:r w:rsidRPr="001D1CA1">
        <w:rPr>
          <w:szCs w:val="20"/>
        </w:rPr>
        <w:t xml:space="preserve"> Edition, available at &lt; https://s3.amazonaws.com/CCBA/Upload/ccb_standards_second_edition_december_2008+(1).pdf &gt;; “</w:t>
      </w:r>
      <w:r w:rsidRPr="001D1CA1">
        <w:rPr>
          <w:bCs/>
          <w:szCs w:val="20"/>
        </w:rPr>
        <w:t>REDD+ Social &amp;</w:t>
      </w:r>
      <w:r w:rsidRPr="001D1CA1">
        <w:rPr>
          <w:szCs w:val="20"/>
        </w:rPr>
        <w:t xml:space="preserve"> </w:t>
      </w:r>
      <w:r w:rsidRPr="001D1CA1">
        <w:rPr>
          <w:bCs/>
          <w:szCs w:val="20"/>
        </w:rPr>
        <w:t>Environmental</w:t>
      </w:r>
      <w:r w:rsidRPr="001D1CA1">
        <w:rPr>
          <w:szCs w:val="20"/>
        </w:rPr>
        <w:t xml:space="preserve"> </w:t>
      </w:r>
      <w:r w:rsidRPr="001D1CA1">
        <w:rPr>
          <w:bCs/>
          <w:szCs w:val="20"/>
        </w:rPr>
        <w:t>Standards</w:t>
      </w:r>
      <w:r w:rsidRPr="001D1CA1">
        <w:rPr>
          <w:szCs w:val="20"/>
        </w:rPr>
        <w:t>,” Version 2, 10 September 2012, available at: &lt;http://www.redd-standards.org&gt;.</w:t>
      </w:r>
    </w:p>
  </w:footnote>
  <w:footnote w:id="81">
    <w:p w14:paraId="1AE2061F" w14:textId="77777777" w:rsidR="002E53A9" w:rsidRPr="001D1CA1" w:rsidRDefault="002E53A9" w:rsidP="001D1CA1">
      <w:pPr>
        <w:rPr>
          <w:sz w:val="20"/>
          <w:szCs w:val="20"/>
        </w:rPr>
      </w:pPr>
      <w:r w:rsidRPr="001D1CA1">
        <w:rPr>
          <w:rStyle w:val="FootnoteReference"/>
          <w:sz w:val="20"/>
          <w:szCs w:val="20"/>
        </w:rPr>
        <w:footnoteRef/>
      </w:r>
      <w:r w:rsidRPr="001D1CA1">
        <w:rPr>
          <w:sz w:val="20"/>
          <w:szCs w:val="20"/>
        </w:rPr>
        <w:t xml:space="preserve"> Florence Bernard, Scott Mcfatridge &amp; Peter A Minang, “The Private Sector in the Supply Chain : Trends, challenges and opportunities” (Winnipeg, Manitoba: IISD 2012).</w:t>
      </w:r>
    </w:p>
  </w:footnote>
  <w:footnote w:id="82">
    <w:p w14:paraId="6DE79CD6" w14:textId="39E1EED6" w:rsidR="002E53A9" w:rsidRPr="001D1CA1" w:rsidRDefault="002E53A9" w:rsidP="001D1CA1">
      <w:pPr>
        <w:rPr>
          <w:bCs/>
          <w:sz w:val="20"/>
          <w:szCs w:val="20"/>
          <w:lang w:val="en-GB"/>
        </w:rPr>
      </w:pPr>
      <w:r w:rsidRPr="001D1CA1">
        <w:rPr>
          <w:rStyle w:val="FootnoteReference"/>
          <w:sz w:val="20"/>
          <w:szCs w:val="20"/>
          <w:lang w:val="en-GB"/>
        </w:rPr>
        <w:footnoteRef/>
      </w:r>
      <w:r w:rsidRPr="001D1CA1">
        <w:rPr>
          <w:sz w:val="20"/>
          <w:szCs w:val="20"/>
          <w:lang w:val="en-GB"/>
        </w:rPr>
        <w:t xml:space="preserve"> See generally Mary C. Thompson, Manali Baruah &amp; Edward R. Carr, “Seeing REDD + as a project of environmental governance” (2011) 14:2 Environmental Science and Policy 100-110; Davide Pettenella &amp; Lucio Brotto, “Governance features for successful REDD+ projects organization” (2011) 18 Forest Policy and Economics 46-52; Esteve Corbera &amp; Heike Schroeder, “Governing and implementing REDD+” (2011) 14:2 Environmental Science &amp; Policy 89-99.</w:t>
      </w:r>
    </w:p>
  </w:footnote>
  <w:footnote w:id="83">
    <w:p w14:paraId="585A3330" w14:textId="68F827A5" w:rsidR="002E53A9" w:rsidRPr="001D1CA1" w:rsidRDefault="002E53A9" w:rsidP="001D1CA1">
      <w:pPr>
        <w:pStyle w:val="FootnoteText"/>
        <w:rPr>
          <w:szCs w:val="20"/>
          <w:lang w:val="en-GB"/>
        </w:rPr>
      </w:pPr>
      <w:r w:rsidRPr="001D1CA1">
        <w:rPr>
          <w:rStyle w:val="FootnoteReference"/>
          <w:sz w:val="20"/>
          <w:szCs w:val="20"/>
          <w:lang w:val="en-GB"/>
        </w:rPr>
        <w:footnoteRef/>
      </w:r>
      <w:r w:rsidRPr="001D1CA1">
        <w:rPr>
          <w:szCs w:val="20"/>
          <w:lang w:val="en-GB"/>
        </w:rPr>
        <w:t xml:space="preserve"> Anne M. Larson </w:t>
      </w:r>
      <w:r w:rsidRPr="001D1CA1">
        <w:rPr>
          <w:i/>
          <w:szCs w:val="20"/>
          <w:lang w:val="en-GB"/>
        </w:rPr>
        <w:t>et al.</w:t>
      </w:r>
      <w:r w:rsidRPr="001D1CA1">
        <w:rPr>
          <w:szCs w:val="20"/>
          <w:lang w:val="en-GB"/>
        </w:rPr>
        <w:t xml:space="preserve">, “Rights to forests and carbon under REDD+ initiatives in Latin America,” CIFOR Info Brief no 33 (Bogor, Indonesia: CIFOR, 2010) at 5-6. </w:t>
      </w:r>
    </w:p>
  </w:footnote>
  <w:footnote w:id="84">
    <w:p w14:paraId="176AA1F1" w14:textId="3EBC023A" w:rsidR="002E53A9" w:rsidRPr="001D1CA1" w:rsidRDefault="002E53A9" w:rsidP="001D1CA1">
      <w:pPr>
        <w:pStyle w:val="FootnoteText"/>
        <w:rPr>
          <w:szCs w:val="20"/>
          <w:lang w:val="en-GB"/>
        </w:rPr>
      </w:pPr>
      <w:r w:rsidRPr="001D1CA1">
        <w:rPr>
          <w:rStyle w:val="FootnoteReference"/>
          <w:sz w:val="20"/>
          <w:szCs w:val="20"/>
          <w:lang w:val="en-GB"/>
        </w:rPr>
        <w:footnoteRef/>
      </w:r>
      <w:r w:rsidRPr="001D1CA1">
        <w:rPr>
          <w:szCs w:val="20"/>
          <w:lang w:val="en-GB"/>
        </w:rPr>
        <w:t xml:space="preserve"> Leo Peskett &amp; Gernot Brodnig, </w:t>
      </w:r>
      <w:r w:rsidRPr="001D1CA1">
        <w:rPr>
          <w:i/>
          <w:szCs w:val="20"/>
          <w:lang w:val="en-GB"/>
        </w:rPr>
        <w:t>Carbon Rights in REDD+</w:t>
      </w:r>
      <w:r w:rsidRPr="001D1CA1">
        <w:rPr>
          <w:szCs w:val="20"/>
          <w:lang w:val="en-GB"/>
        </w:rPr>
        <w:t xml:space="preserve"> (Washington, DC: World Bank and REDD-NET, 2011); Finn Danielsen </w:t>
      </w:r>
      <w:r w:rsidRPr="001D1CA1">
        <w:rPr>
          <w:i/>
          <w:szCs w:val="20"/>
          <w:lang w:val="en-GB"/>
        </w:rPr>
        <w:t>et al.</w:t>
      </w:r>
      <w:r w:rsidRPr="001D1CA1">
        <w:rPr>
          <w:szCs w:val="20"/>
          <w:lang w:val="en-GB"/>
        </w:rPr>
        <w:t xml:space="preserve"> “At the heart of REDD+: a role for local people in monitoring forests?” (2011) 4:2 Conservation Letters 158-167.</w:t>
      </w:r>
    </w:p>
  </w:footnote>
  <w:footnote w:id="85">
    <w:p w14:paraId="75AD10FB" w14:textId="34CA9DF9" w:rsidR="002E53A9" w:rsidRPr="001D1CA1" w:rsidRDefault="002E53A9" w:rsidP="001D1CA1">
      <w:pPr>
        <w:pStyle w:val="FootnoteText"/>
        <w:rPr>
          <w:szCs w:val="20"/>
          <w:lang w:val="en-GB"/>
        </w:rPr>
      </w:pPr>
      <w:r w:rsidRPr="001D1CA1">
        <w:rPr>
          <w:rStyle w:val="FootnoteReference"/>
          <w:sz w:val="20"/>
          <w:szCs w:val="20"/>
          <w:lang w:val="en-GB"/>
        </w:rPr>
        <w:footnoteRef/>
      </w:r>
      <w:r w:rsidRPr="001D1CA1">
        <w:rPr>
          <w:szCs w:val="20"/>
          <w:lang w:val="en-GB"/>
        </w:rPr>
        <w:t xml:space="preserve"> Jeffrey Hatcher, “Securing Tenure Rights and Reducing Emissions from Deforestation and Degradation (REDD). Costs and Lessons Learned” Social Development Paper no. 120 (Washington, DC: World Bank, 2009) at ii. </w:t>
      </w:r>
    </w:p>
  </w:footnote>
  <w:footnote w:id="86">
    <w:p w14:paraId="157EEEC1" w14:textId="1B9CCFFF" w:rsidR="002E53A9" w:rsidRPr="001D1CA1" w:rsidRDefault="002E53A9" w:rsidP="001D1CA1">
      <w:pPr>
        <w:pStyle w:val="FootnoteText"/>
        <w:rPr>
          <w:szCs w:val="20"/>
          <w:lang w:val="en-GB"/>
        </w:rPr>
      </w:pPr>
      <w:r w:rsidRPr="001D1CA1">
        <w:rPr>
          <w:rStyle w:val="FootnoteReference"/>
          <w:sz w:val="20"/>
          <w:szCs w:val="20"/>
          <w:lang w:val="en-GB"/>
        </w:rPr>
        <w:footnoteRef/>
      </w:r>
      <w:r w:rsidRPr="001D1CA1">
        <w:rPr>
          <w:szCs w:val="20"/>
          <w:lang w:val="en-GB"/>
        </w:rPr>
        <w:t xml:space="preserve"> Frances Seymour, “Forests, climate change and human rights: managing risks and trade-offs” in Stephen Humphreys, ed., </w:t>
      </w:r>
      <w:r w:rsidRPr="001D1CA1">
        <w:rPr>
          <w:i/>
          <w:szCs w:val="20"/>
          <w:lang w:val="en-GB"/>
        </w:rPr>
        <w:t>Human Rights and Climate Change</w:t>
      </w:r>
      <w:r w:rsidRPr="001D1CA1">
        <w:rPr>
          <w:szCs w:val="20"/>
          <w:lang w:val="en-GB"/>
        </w:rPr>
        <w:t xml:space="preserve"> (Cambridge, UK: Cambridge University Press, 2009) 207-237 at 219. See also André Rodrigues de Aquino, André Aasrud &amp; Leticia Guimarães, “Can Forest Carbon Finance Influence Land Tenure Security in Project Areas ? Preliminary Lessons from Projects in Niger and Kenya” (2011) 8 Advances in Agroforestry 231-246.</w:t>
      </w:r>
    </w:p>
  </w:footnote>
  <w:footnote w:id="87">
    <w:p w14:paraId="5F94C0A5" w14:textId="77777777" w:rsidR="002E53A9" w:rsidRPr="001D1CA1" w:rsidRDefault="002E53A9" w:rsidP="001D1CA1">
      <w:pPr>
        <w:pStyle w:val="FootnoteText"/>
        <w:rPr>
          <w:szCs w:val="20"/>
          <w:lang w:val="en-GB"/>
        </w:rPr>
      </w:pPr>
      <w:r w:rsidRPr="001D1CA1">
        <w:rPr>
          <w:rStyle w:val="FootnoteReference"/>
          <w:sz w:val="20"/>
          <w:szCs w:val="20"/>
          <w:lang w:val="en-GB"/>
        </w:rPr>
        <w:footnoteRef/>
      </w:r>
      <w:r w:rsidRPr="001D1CA1">
        <w:rPr>
          <w:szCs w:val="20"/>
          <w:lang w:val="en-GB"/>
        </w:rPr>
        <w:t xml:space="preserve"> Esteve Corbera </w:t>
      </w:r>
      <w:r w:rsidRPr="001D1CA1">
        <w:rPr>
          <w:i/>
          <w:szCs w:val="20"/>
          <w:lang w:val="en-GB"/>
        </w:rPr>
        <w:t>et al.</w:t>
      </w:r>
      <w:r w:rsidRPr="001D1CA1">
        <w:rPr>
          <w:szCs w:val="20"/>
          <w:lang w:val="en-GB"/>
        </w:rPr>
        <w:t>, “Rights to Land, Forests and Carbon in REDD+: Insights from Mexico, Brazil and Costa Rica” (2011) 2 Forests 301-342 at 322-334. See also Grenville Barnes &amp; Sheryl Quail, “Land Tenure Challenges in Managing Carbon Property Rights to Mitigate Climate Change” (2011) 11:2 Land Tenure Journal 81-103.</w:t>
      </w:r>
    </w:p>
  </w:footnote>
  <w:footnote w:id="88">
    <w:p w14:paraId="1BB500E1" w14:textId="77777777" w:rsidR="002E53A9" w:rsidRPr="001D1CA1" w:rsidRDefault="002E53A9" w:rsidP="001D1CA1">
      <w:pPr>
        <w:pStyle w:val="FootnoteText"/>
        <w:rPr>
          <w:szCs w:val="20"/>
          <w:lang w:val="en-GB"/>
        </w:rPr>
      </w:pPr>
      <w:r w:rsidRPr="001D1CA1">
        <w:rPr>
          <w:rStyle w:val="FootnoteReference"/>
          <w:sz w:val="20"/>
          <w:szCs w:val="20"/>
          <w:lang w:val="en-GB"/>
        </w:rPr>
        <w:footnoteRef/>
      </w:r>
      <w:r w:rsidRPr="001D1CA1">
        <w:rPr>
          <w:szCs w:val="20"/>
          <w:lang w:val="en-GB"/>
        </w:rPr>
        <w:t xml:space="preserve"> Constance McDermott </w:t>
      </w:r>
      <w:r w:rsidRPr="001D1CA1">
        <w:rPr>
          <w:i/>
          <w:szCs w:val="20"/>
          <w:lang w:val="en-GB"/>
        </w:rPr>
        <w:t>et al.</w:t>
      </w:r>
      <w:r w:rsidRPr="001D1CA1">
        <w:rPr>
          <w:szCs w:val="20"/>
          <w:lang w:val="en-GB"/>
        </w:rPr>
        <w:t>, “Operationalizing social safeguards in REDD+: actors, interests and ideas” (2012) 21 Environmental Science and Policy 63-72.</w:t>
      </w:r>
    </w:p>
  </w:footnote>
  <w:footnote w:id="89">
    <w:p w14:paraId="334DF8D5" w14:textId="3BF4AD6F" w:rsidR="002E53A9" w:rsidRPr="001D1CA1" w:rsidRDefault="002E53A9" w:rsidP="001D1CA1">
      <w:pPr>
        <w:pStyle w:val="FootnoteText"/>
        <w:rPr>
          <w:szCs w:val="20"/>
          <w:lang w:val="en-GB"/>
        </w:rPr>
      </w:pPr>
      <w:r w:rsidRPr="001D1CA1">
        <w:rPr>
          <w:rStyle w:val="FootnoteReference"/>
          <w:sz w:val="20"/>
          <w:szCs w:val="20"/>
          <w:lang w:val="en-GB"/>
        </w:rPr>
        <w:footnoteRef/>
      </w:r>
      <w:r w:rsidRPr="001D1CA1">
        <w:rPr>
          <w:szCs w:val="20"/>
          <w:lang w:val="en-GB"/>
        </w:rPr>
        <w:t xml:space="preserve"> Savaresi, </w:t>
      </w:r>
      <w:r w:rsidRPr="001D1CA1">
        <w:rPr>
          <w:i/>
          <w:szCs w:val="20"/>
          <w:lang w:val="en-GB"/>
        </w:rPr>
        <w:t>supra</w:t>
      </w:r>
      <w:r w:rsidRPr="001D1CA1">
        <w:rPr>
          <w:szCs w:val="20"/>
          <w:lang w:val="en-GB"/>
        </w:rPr>
        <w:t xml:space="preserve"> note </w:t>
      </w:r>
      <w:r w:rsidRPr="001D1CA1">
        <w:rPr>
          <w:szCs w:val="20"/>
          <w:lang w:val="en-GB"/>
        </w:rPr>
        <w:fldChar w:fldCharType="begin"/>
      </w:r>
      <w:r w:rsidRPr="001D1CA1">
        <w:rPr>
          <w:szCs w:val="20"/>
          <w:lang w:val="en-GB"/>
        </w:rPr>
        <w:instrText xml:space="preserve"> NOTEREF _Ref209676242 \h </w:instrText>
      </w:r>
      <w:r w:rsidRPr="001D1CA1">
        <w:rPr>
          <w:szCs w:val="20"/>
          <w:lang w:val="en-GB"/>
        </w:rPr>
      </w:r>
      <w:r w:rsidRPr="001D1CA1">
        <w:rPr>
          <w:szCs w:val="20"/>
          <w:lang w:val="en-GB"/>
        </w:rPr>
        <w:fldChar w:fldCharType="separate"/>
      </w:r>
      <w:r w:rsidR="000E69E4">
        <w:rPr>
          <w:szCs w:val="20"/>
          <w:lang w:val="en-GB"/>
        </w:rPr>
        <w:t>15</w:t>
      </w:r>
      <w:r w:rsidRPr="001D1CA1">
        <w:rPr>
          <w:szCs w:val="20"/>
          <w:lang w:val="en-GB"/>
        </w:rPr>
        <w:fldChar w:fldCharType="end"/>
      </w:r>
      <w:r w:rsidRPr="001D1CA1">
        <w:rPr>
          <w:szCs w:val="20"/>
          <w:lang w:val="en-GB"/>
        </w:rPr>
        <w:t xml:space="preserve"> at 105.</w:t>
      </w:r>
    </w:p>
  </w:footnote>
  <w:footnote w:id="90">
    <w:p w14:paraId="68620C76" w14:textId="77777777" w:rsidR="002E53A9" w:rsidRPr="001D1CA1" w:rsidRDefault="002E53A9" w:rsidP="001D1CA1">
      <w:pPr>
        <w:pStyle w:val="FootnoteText"/>
        <w:rPr>
          <w:szCs w:val="20"/>
          <w:lang w:val="en-GB"/>
        </w:rPr>
      </w:pPr>
      <w:r w:rsidRPr="001D1CA1">
        <w:rPr>
          <w:rStyle w:val="FootnoteReference"/>
          <w:sz w:val="20"/>
          <w:szCs w:val="20"/>
          <w:lang w:val="en-GB"/>
        </w:rPr>
        <w:footnoteRef/>
      </w:r>
      <w:r w:rsidRPr="001D1CA1">
        <w:rPr>
          <w:szCs w:val="20"/>
          <w:lang w:val="en-GB"/>
        </w:rPr>
        <w:t xml:space="preserve"> Seymour, </w:t>
      </w:r>
      <w:r w:rsidRPr="001D1CA1">
        <w:rPr>
          <w:i/>
          <w:szCs w:val="20"/>
          <w:lang w:val="en-GB"/>
        </w:rPr>
        <w:t>supra</w:t>
      </w:r>
      <w:r w:rsidRPr="001D1CA1">
        <w:rPr>
          <w:szCs w:val="20"/>
          <w:lang w:val="en-GB"/>
        </w:rPr>
        <w:t xml:space="preserve"> note </w:t>
      </w:r>
      <w:r w:rsidRPr="001D1CA1">
        <w:rPr>
          <w:szCs w:val="20"/>
          <w:lang w:val="en-GB"/>
        </w:rPr>
        <w:fldChar w:fldCharType="begin"/>
      </w:r>
      <w:r w:rsidRPr="001D1CA1">
        <w:rPr>
          <w:szCs w:val="20"/>
          <w:lang w:val="en-GB"/>
        </w:rPr>
        <w:instrText xml:space="preserve"> NOTEREF _Ref209679721 \h </w:instrText>
      </w:r>
      <w:r w:rsidRPr="001D1CA1">
        <w:rPr>
          <w:szCs w:val="20"/>
          <w:lang w:val="en-GB"/>
        </w:rPr>
      </w:r>
      <w:r w:rsidRPr="001D1CA1">
        <w:rPr>
          <w:szCs w:val="20"/>
          <w:lang w:val="en-GB"/>
        </w:rPr>
        <w:fldChar w:fldCharType="separate"/>
      </w:r>
      <w:r w:rsidR="000E69E4">
        <w:rPr>
          <w:szCs w:val="20"/>
          <w:lang w:val="en-GB"/>
        </w:rPr>
        <w:t>85</w:t>
      </w:r>
      <w:r w:rsidRPr="001D1CA1">
        <w:rPr>
          <w:szCs w:val="20"/>
          <w:lang w:val="en-GB"/>
        </w:rPr>
        <w:fldChar w:fldCharType="end"/>
      </w:r>
      <w:r w:rsidRPr="001D1CA1">
        <w:rPr>
          <w:szCs w:val="20"/>
          <w:lang w:val="en-GB"/>
        </w:rPr>
        <w:t xml:space="preserve"> at 219.</w:t>
      </w:r>
    </w:p>
  </w:footnote>
  <w:footnote w:id="91">
    <w:p w14:paraId="514FCD2F" w14:textId="3248D62E" w:rsidR="002E53A9" w:rsidRPr="001D1CA1" w:rsidRDefault="002E53A9" w:rsidP="001D1CA1">
      <w:pPr>
        <w:pStyle w:val="FootnoteText"/>
        <w:rPr>
          <w:szCs w:val="20"/>
          <w:lang w:val="en-GB"/>
        </w:rPr>
      </w:pPr>
      <w:r w:rsidRPr="001D1CA1">
        <w:rPr>
          <w:rStyle w:val="FootnoteReference"/>
          <w:sz w:val="20"/>
          <w:szCs w:val="20"/>
          <w:lang w:val="en-GB"/>
        </w:rPr>
        <w:footnoteRef/>
      </w:r>
      <w:r w:rsidRPr="001D1CA1">
        <w:rPr>
          <w:szCs w:val="20"/>
          <w:lang w:val="en-GB"/>
        </w:rPr>
        <w:t xml:space="preserve"> Lyster, </w:t>
      </w:r>
      <w:r w:rsidRPr="001D1CA1">
        <w:rPr>
          <w:i/>
          <w:szCs w:val="20"/>
          <w:lang w:val="en-GB"/>
        </w:rPr>
        <w:t>supra</w:t>
      </w:r>
      <w:r w:rsidRPr="001D1CA1">
        <w:rPr>
          <w:szCs w:val="20"/>
          <w:lang w:val="en-GB"/>
        </w:rPr>
        <w:t xml:space="preserve"> note </w:t>
      </w:r>
      <w:r w:rsidRPr="001D1CA1">
        <w:rPr>
          <w:szCs w:val="20"/>
          <w:lang w:val="en-GB"/>
        </w:rPr>
        <w:fldChar w:fldCharType="begin"/>
      </w:r>
      <w:r w:rsidRPr="001D1CA1">
        <w:rPr>
          <w:szCs w:val="20"/>
          <w:lang w:val="en-GB"/>
        </w:rPr>
        <w:instrText xml:space="preserve"> NOTEREF _Ref209676242 \h </w:instrText>
      </w:r>
      <w:r w:rsidRPr="001D1CA1">
        <w:rPr>
          <w:szCs w:val="20"/>
          <w:lang w:val="en-GB"/>
        </w:rPr>
      </w:r>
      <w:r w:rsidRPr="001D1CA1">
        <w:rPr>
          <w:szCs w:val="20"/>
          <w:lang w:val="en-GB"/>
        </w:rPr>
        <w:fldChar w:fldCharType="separate"/>
      </w:r>
      <w:r w:rsidR="000E69E4">
        <w:rPr>
          <w:szCs w:val="20"/>
          <w:lang w:val="en-GB"/>
        </w:rPr>
        <w:t>15</w:t>
      </w:r>
      <w:r w:rsidRPr="001D1CA1">
        <w:rPr>
          <w:szCs w:val="20"/>
          <w:lang w:val="en-GB"/>
        </w:rPr>
        <w:fldChar w:fldCharType="end"/>
      </w:r>
      <w:r w:rsidRPr="001D1CA1">
        <w:rPr>
          <w:szCs w:val="20"/>
          <w:lang w:val="en-GB"/>
        </w:rPr>
        <w:t>.</w:t>
      </w:r>
    </w:p>
  </w:footnote>
  <w:footnote w:id="92">
    <w:p w14:paraId="469D1FF0" w14:textId="7999FDA9" w:rsidR="002E53A9" w:rsidRPr="001D1CA1" w:rsidRDefault="002E53A9" w:rsidP="001D1CA1">
      <w:pPr>
        <w:pStyle w:val="FootnoteText"/>
        <w:rPr>
          <w:szCs w:val="20"/>
          <w:lang w:val="en-GB"/>
        </w:rPr>
      </w:pPr>
      <w:r w:rsidRPr="001D1CA1">
        <w:rPr>
          <w:rStyle w:val="FootnoteReference"/>
          <w:sz w:val="20"/>
          <w:szCs w:val="20"/>
          <w:lang w:val="en-GB"/>
        </w:rPr>
        <w:footnoteRef/>
      </w:r>
      <w:r w:rsidRPr="001D1CA1">
        <w:rPr>
          <w:szCs w:val="20"/>
          <w:lang w:val="en-GB"/>
        </w:rPr>
        <w:t xml:space="preserve"> Naomi Roht-Arriaza, “Human rights in the climate change regime” (2010) 1:2 Journal of Human Rights and the Environment 211-235 at 234; Savaresi, </w:t>
      </w:r>
      <w:r w:rsidRPr="001D1CA1">
        <w:rPr>
          <w:i/>
          <w:szCs w:val="20"/>
          <w:lang w:val="en-GB"/>
        </w:rPr>
        <w:t>supra</w:t>
      </w:r>
      <w:r w:rsidRPr="001D1CA1">
        <w:rPr>
          <w:szCs w:val="20"/>
          <w:lang w:val="en-GB"/>
        </w:rPr>
        <w:t xml:space="preserve"> note </w:t>
      </w:r>
      <w:r w:rsidRPr="001D1CA1">
        <w:rPr>
          <w:szCs w:val="20"/>
          <w:lang w:val="en-GB"/>
        </w:rPr>
        <w:fldChar w:fldCharType="begin"/>
      </w:r>
      <w:r w:rsidRPr="001D1CA1">
        <w:rPr>
          <w:szCs w:val="20"/>
          <w:lang w:val="en-GB"/>
        </w:rPr>
        <w:instrText xml:space="preserve"> NOTEREF _Ref209676242 \h </w:instrText>
      </w:r>
      <w:r w:rsidRPr="001D1CA1">
        <w:rPr>
          <w:szCs w:val="20"/>
          <w:lang w:val="en-GB"/>
        </w:rPr>
      </w:r>
      <w:r w:rsidRPr="001D1CA1">
        <w:rPr>
          <w:szCs w:val="20"/>
          <w:lang w:val="en-GB"/>
        </w:rPr>
        <w:fldChar w:fldCharType="separate"/>
      </w:r>
      <w:r w:rsidR="000E69E4">
        <w:rPr>
          <w:szCs w:val="20"/>
          <w:lang w:val="en-GB"/>
        </w:rPr>
        <w:t>15</w:t>
      </w:r>
      <w:r w:rsidRPr="001D1CA1">
        <w:rPr>
          <w:szCs w:val="20"/>
          <w:lang w:val="en-GB"/>
        </w:rPr>
        <w:fldChar w:fldCharType="end"/>
      </w:r>
      <w:r w:rsidRPr="001D1CA1">
        <w:rPr>
          <w:szCs w:val="20"/>
          <w:lang w:val="en-GB"/>
        </w:rPr>
        <w:t xml:space="preserve"> at 112-113; Christoph Schwarte, “Social Safeguards in REDD: A review of possible mechanisms to protect the rights and interests of indigenous and forest-dependent communities in a future system for REDD” (2010) 6:1 McGill Journal of Sustainable Development Law &amp; Policy 57-80; David J. Kelly, “The Case for Social Safeguards in a Post-2012 Agreement on REDD” (2010) 6:1 Law, Environment and Development Journal 61-81.</w:t>
      </w:r>
    </w:p>
  </w:footnote>
  <w:footnote w:id="93">
    <w:p w14:paraId="0F42D339" w14:textId="77777777" w:rsidR="002E53A9" w:rsidRPr="001D1CA1" w:rsidRDefault="002E53A9" w:rsidP="001D1CA1">
      <w:pPr>
        <w:pStyle w:val="FootnoteText"/>
        <w:rPr>
          <w:szCs w:val="20"/>
          <w:lang w:val="en-GB"/>
        </w:rPr>
      </w:pPr>
      <w:r w:rsidRPr="001D1CA1">
        <w:rPr>
          <w:rStyle w:val="FootnoteReference"/>
          <w:sz w:val="20"/>
          <w:szCs w:val="20"/>
          <w:lang w:val="en-GB"/>
        </w:rPr>
        <w:footnoteRef/>
      </w:r>
      <w:r w:rsidRPr="001D1CA1">
        <w:rPr>
          <w:szCs w:val="20"/>
          <w:lang w:val="en-GB"/>
        </w:rPr>
        <w:t xml:space="preserve"> Anne M. Larson &amp; Elena Petkova. “An Introduction to Forest Governance, People and REDD+ in Latin America: Obstacles and Opportunities” (2011) 2:1 Forests 86-111; Anna Knox </w:t>
      </w:r>
      <w:r w:rsidRPr="001D1CA1">
        <w:rPr>
          <w:i/>
          <w:szCs w:val="20"/>
          <w:lang w:val="en-GB"/>
        </w:rPr>
        <w:t>et al.</w:t>
      </w:r>
      <w:r w:rsidRPr="001D1CA1">
        <w:rPr>
          <w:szCs w:val="20"/>
          <w:lang w:val="en-GB"/>
        </w:rPr>
        <w:t xml:space="preserve">, “Land Tenure and Payment for Environmental Services. Challenges and Opportunities for REDD+” (2011) 11:2 Land Tenure Journal 17-55. </w:t>
      </w:r>
    </w:p>
  </w:footnote>
  <w:footnote w:id="94">
    <w:p w14:paraId="0FF742E2" w14:textId="4048A801" w:rsidR="002E53A9" w:rsidRPr="001D1CA1" w:rsidRDefault="002E53A9" w:rsidP="001D1CA1">
      <w:pPr>
        <w:pStyle w:val="FootnoteText"/>
        <w:rPr>
          <w:szCs w:val="20"/>
          <w:lang w:val="en-GB"/>
        </w:rPr>
      </w:pPr>
      <w:r w:rsidRPr="001D1CA1">
        <w:rPr>
          <w:rStyle w:val="FootnoteReference"/>
          <w:sz w:val="20"/>
          <w:szCs w:val="20"/>
          <w:lang w:val="en-GB"/>
        </w:rPr>
        <w:footnoteRef/>
      </w:r>
      <w:r w:rsidRPr="001D1CA1">
        <w:rPr>
          <w:szCs w:val="20"/>
          <w:lang w:val="en-GB"/>
        </w:rPr>
        <w:t xml:space="preserve"> Emma Doherty &amp; Heike Schroeder, “Forest Tenure and Multi-level Governance in Avoiding Deforestation under REDD+” (2011) 11:4 Global Environmental Politics 66-88 at 81. </w:t>
      </w:r>
    </w:p>
  </w:footnote>
  <w:footnote w:id="95">
    <w:p w14:paraId="44760893" w14:textId="4FA73E49" w:rsidR="002E53A9" w:rsidRPr="001D1CA1" w:rsidRDefault="002E53A9" w:rsidP="001D1CA1">
      <w:pPr>
        <w:pStyle w:val="FootnoteText"/>
        <w:rPr>
          <w:szCs w:val="20"/>
          <w:lang w:val="en-GB"/>
        </w:rPr>
      </w:pPr>
      <w:r w:rsidRPr="001D1CA1">
        <w:rPr>
          <w:rStyle w:val="FootnoteReference"/>
          <w:sz w:val="20"/>
          <w:szCs w:val="20"/>
          <w:lang w:val="en-GB"/>
        </w:rPr>
        <w:footnoteRef/>
      </w:r>
      <w:r w:rsidRPr="001D1CA1">
        <w:rPr>
          <w:szCs w:val="20"/>
          <w:lang w:val="en-GB"/>
        </w:rPr>
        <w:t xml:space="preserve"> Jacob Phelps, Edward L. Webb &amp; Arun Agrawal, “Does REDD+ threaten to recentralize forest governance?” (2010) 328:5976 Science 312-313 (arguing that the costs, complexities, and objectives of the REDD+ readiness phase offers opportunities for governments to recentralize control over forests). See also Lorenzo Cotula &amp; James Mayers, </w:t>
      </w:r>
      <w:r w:rsidRPr="001D1CA1">
        <w:rPr>
          <w:i/>
          <w:szCs w:val="20"/>
          <w:lang w:val="en-GB"/>
        </w:rPr>
        <w:t xml:space="preserve">Tenure in REDD. Starting-point or afterthought? </w:t>
      </w:r>
      <w:r w:rsidRPr="001D1CA1">
        <w:rPr>
          <w:szCs w:val="20"/>
          <w:lang w:val="en-GB"/>
        </w:rPr>
        <w:t xml:space="preserve">(London, UK: IIED, 2009) at 9 (arguing that </w:t>
      </w:r>
      <w:r w:rsidRPr="001D1CA1">
        <w:rPr>
          <w:bCs/>
          <w:szCs w:val="20"/>
          <w:lang w:val="en-GB"/>
        </w:rPr>
        <w:t>“as the value of standing forests or forest land increases, powerful actors tend to capture those values to the detriment of the less powerful forest-dependent poor.”)</w:t>
      </w:r>
    </w:p>
  </w:footnote>
  <w:footnote w:id="96">
    <w:p w14:paraId="3F7A00B9" w14:textId="714C7A64" w:rsidR="002E53A9" w:rsidRPr="001D1CA1" w:rsidRDefault="002E53A9" w:rsidP="001D1CA1">
      <w:pPr>
        <w:pStyle w:val="FootnoteText"/>
        <w:rPr>
          <w:szCs w:val="20"/>
          <w:lang w:val="en-GB"/>
        </w:rPr>
      </w:pPr>
      <w:r w:rsidRPr="001D1CA1">
        <w:rPr>
          <w:rStyle w:val="FootnoteReference"/>
          <w:sz w:val="20"/>
          <w:szCs w:val="20"/>
          <w:lang w:val="en-GB"/>
        </w:rPr>
        <w:footnoteRef/>
      </w:r>
      <w:r w:rsidRPr="001D1CA1">
        <w:rPr>
          <w:szCs w:val="20"/>
          <w:lang w:val="en-GB"/>
        </w:rPr>
        <w:t xml:space="preserve"> Maxwell Gomera, Liz Rihoy &amp; Fred Nelson, “A Changing Climate for Community Resource Governance: Threats and Opportunities from Climate Change and the Emerging Carbon Market” in Fred Nelson, (eds.), </w:t>
      </w:r>
      <w:r w:rsidRPr="001D1CA1">
        <w:rPr>
          <w:i/>
          <w:szCs w:val="20"/>
          <w:lang w:val="en-GB"/>
        </w:rPr>
        <w:t>Community Rights, Conservation and Contested Land: The Politics of National Resource Governance in Africa</w:t>
      </w:r>
      <w:r w:rsidRPr="001D1CA1">
        <w:rPr>
          <w:szCs w:val="20"/>
          <w:lang w:val="en-GB"/>
        </w:rPr>
        <w:t xml:space="preserve"> (London, UK: Earthscan, 2010) 293-309 at 294.</w:t>
      </w:r>
    </w:p>
  </w:footnote>
  <w:footnote w:id="97">
    <w:p w14:paraId="20A91292" w14:textId="2C8270E4" w:rsidR="002E53A9" w:rsidRPr="001D1CA1" w:rsidRDefault="002E53A9" w:rsidP="001D1CA1">
      <w:pPr>
        <w:pStyle w:val="FootnoteText"/>
        <w:rPr>
          <w:szCs w:val="20"/>
          <w:lang w:val="en-GB"/>
        </w:rPr>
      </w:pPr>
      <w:r w:rsidRPr="001D1CA1">
        <w:rPr>
          <w:rStyle w:val="FootnoteReference"/>
          <w:sz w:val="20"/>
          <w:szCs w:val="20"/>
          <w:lang w:val="en-GB"/>
        </w:rPr>
        <w:footnoteRef/>
      </w:r>
      <w:r w:rsidRPr="001D1CA1">
        <w:rPr>
          <w:szCs w:val="20"/>
          <w:lang w:val="en-GB"/>
        </w:rPr>
        <w:t xml:space="preserve"> Jesse C. Ribot &amp; Anne M. Larson, “Affirmative Policy on an Uneven Policy Field: Implications for REDD” in Thomas Sikor &amp; Johannes Stahl, (eds.), </w:t>
      </w:r>
      <w:r w:rsidRPr="001D1CA1">
        <w:rPr>
          <w:i/>
          <w:szCs w:val="20"/>
          <w:lang w:val="en-GB"/>
        </w:rPr>
        <w:t>Forests and People. Property, Governance, and Human Rights</w:t>
      </w:r>
      <w:r w:rsidRPr="001D1CA1">
        <w:rPr>
          <w:szCs w:val="20"/>
          <w:lang w:val="en-GB"/>
        </w:rPr>
        <w:t xml:space="preserve"> (London, UK: Earthscan, 2011) 67-84 at 67.</w:t>
      </w:r>
    </w:p>
  </w:footnote>
  <w:footnote w:id="98">
    <w:p w14:paraId="534E1BA5" w14:textId="77777777" w:rsidR="002E53A9" w:rsidRPr="001D1CA1" w:rsidRDefault="002E53A9" w:rsidP="001D1CA1">
      <w:pPr>
        <w:pStyle w:val="FootnoteText"/>
        <w:rPr>
          <w:szCs w:val="20"/>
          <w:lang w:val="en-GB"/>
        </w:rPr>
      </w:pPr>
      <w:r w:rsidRPr="001D1CA1">
        <w:rPr>
          <w:rStyle w:val="FootnoteReference"/>
          <w:sz w:val="20"/>
          <w:szCs w:val="20"/>
          <w:lang w:val="en-GB"/>
        </w:rPr>
        <w:footnoteRef/>
      </w:r>
      <w:r w:rsidRPr="001D1CA1">
        <w:rPr>
          <w:szCs w:val="20"/>
          <w:lang w:val="en-GB"/>
        </w:rPr>
        <w:t xml:space="preserve"> </w:t>
      </w:r>
      <w:r w:rsidRPr="001D1CA1">
        <w:rPr>
          <w:i/>
          <w:szCs w:val="20"/>
          <w:lang w:val="en-GB"/>
        </w:rPr>
        <w:t>Ibid.</w:t>
      </w:r>
      <w:r w:rsidRPr="001D1CA1">
        <w:rPr>
          <w:szCs w:val="20"/>
          <w:lang w:val="en-GB"/>
        </w:rPr>
        <w:t xml:space="preserve"> at 68.</w:t>
      </w:r>
    </w:p>
  </w:footnote>
  <w:footnote w:id="99">
    <w:p w14:paraId="61EF45BD" w14:textId="4F693E1E" w:rsidR="002E53A9" w:rsidRPr="001D1CA1" w:rsidRDefault="002E53A9" w:rsidP="001D1CA1">
      <w:pPr>
        <w:pStyle w:val="FootnoteText"/>
        <w:rPr>
          <w:szCs w:val="20"/>
          <w:lang w:val="en-GB"/>
        </w:rPr>
      </w:pPr>
      <w:r w:rsidRPr="001D1CA1">
        <w:rPr>
          <w:rStyle w:val="FootnoteReference"/>
          <w:sz w:val="20"/>
          <w:szCs w:val="20"/>
          <w:lang w:val="en-GB"/>
        </w:rPr>
        <w:footnoteRef/>
      </w:r>
      <w:r w:rsidRPr="001D1CA1">
        <w:rPr>
          <w:szCs w:val="20"/>
          <w:lang w:val="en-GB"/>
        </w:rPr>
        <w:t xml:space="preserve"> See, </w:t>
      </w:r>
      <w:r w:rsidRPr="001D1CA1">
        <w:rPr>
          <w:i/>
          <w:szCs w:val="20"/>
          <w:lang w:val="en-GB"/>
        </w:rPr>
        <w:t>e.g.</w:t>
      </w:r>
      <w:r w:rsidRPr="001D1CA1">
        <w:rPr>
          <w:szCs w:val="20"/>
          <w:lang w:val="en-GB"/>
        </w:rPr>
        <w:t xml:space="preserve">, Fred Nelson, “Introduction: The Politics of National Resource Governance in Africa” in Nelson, </w:t>
      </w:r>
      <w:r w:rsidRPr="001D1CA1">
        <w:rPr>
          <w:i/>
          <w:szCs w:val="20"/>
          <w:lang w:val="en-GB"/>
        </w:rPr>
        <w:t>supra</w:t>
      </w:r>
      <w:r w:rsidRPr="001D1CA1">
        <w:rPr>
          <w:szCs w:val="20"/>
          <w:lang w:val="en-GB"/>
        </w:rPr>
        <w:t xml:space="preserve"> note </w:t>
      </w:r>
      <w:r w:rsidRPr="001D1CA1">
        <w:rPr>
          <w:szCs w:val="20"/>
          <w:lang w:val="en-GB"/>
        </w:rPr>
        <w:fldChar w:fldCharType="begin"/>
      </w:r>
      <w:r w:rsidRPr="001D1CA1">
        <w:rPr>
          <w:szCs w:val="20"/>
          <w:lang w:val="en-GB"/>
        </w:rPr>
        <w:instrText xml:space="preserve"> NOTEREF _Ref219193644 \h </w:instrText>
      </w:r>
      <w:r w:rsidRPr="001D1CA1">
        <w:rPr>
          <w:szCs w:val="20"/>
          <w:lang w:val="en-GB"/>
        </w:rPr>
      </w:r>
      <w:r w:rsidRPr="001D1CA1">
        <w:rPr>
          <w:szCs w:val="20"/>
          <w:lang w:val="en-GB"/>
        </w:rPr>
        <w:fldChar w:fldCharType="separate"/>
      </w:r>
      <w:r w:rsidR="000E69E4">
        <w:rPr>
          <w:szCs w:val="20"/>
          <w:lang w:val="en-GB"/>
        </w:rPr>
        <w:t>95</w:t>
      </w:r>
      <w:r w:rsidRPr="001D1CA1">
        <w:rPr>
          <w:szCs w:val="20"/>
          <w:lang w:val="en-GB"/>
        </w:rPr>
        <w:fldChar w:fldCharType="end"/>
      </w:r>
      <w:r w:rsidRPr="001D1CA1">
        <w:rPr>
          <w:szCs w:val="20"/>
          <w:lang w:val="en-GB"/>
        </w:rPr>
        <w:t>, 3-31; Fred Nelson &amp; Arun Agrawal, “Patronage or Participation ? Community-based Natural Resource Management Reform in Sub-Saharan Africa” (2008) 39:4 Development and Change 557-585; Jesse C. Ribot, Arun Agrawal &amp; Anne M. Larson, “Recentralizing While Decentralizing: How National Governments Reappropriate Forest Resources” (2006) 34:11 World Development 1864-1886; Dan Brockington &amp; Rosaleen Duffy, “Capitalism and Conservation: The Production and Reproduction of Biodiversity Conservation” (2010) 42(3) Antipode 469–484.</w:t>
      </w:r>
    </w:p>
  </w:footnote>
  <w:footnote w:id="100">
    <w:p w14:paraId="2C4F8285" w14:textId="653227B9" w:rsidR="002E53A9" w:rsidRPr="001D1CA1" w:rsidRDefault="002E53A9" w:rsidP="001D1CA1">
      <w:pPr>
        <w:pStyle w:val="FootnoteText"/>
        <w:rPr>
          <w:szCs w:val="20"/>
          <w:lang w:val="en-GB"/>
        </w:rPr>
      </w:pPr>
      <w:r w:rsidRPr="001D1CA1">
        <w:rPr>
          <w:rStyle w:val="FootnoteReference"/>
          <w:sz w:val="20"/>
          <w:szCs w:val="20"/>
          <w:lang w:val="en-GB"/>
        </w:rPr>
        <w:footnoteRef/>
      </w:r>
      <w:r w:rsidRPr="001D1CA1">
        <w:rPr>
          <w:szCs w:val="20"/>
          <w:lang w:val="en-GB"/>
        </w:rPr>
        <w:t xml:space="preserve"> The only existing effort to examine the policy dynamics underlying the REDD+ readiness phase in any depth is being undertaken by the Centre for International Forestry Research (CIFOR). Although useful in many respects, this research consists of single-case studies of the REDD+ policy processes in different countries and does not seek to draw causal inferences about the transnational influence of the REDD+ readiness phase. See CIFOR, Global Comparative Study of REDD+, available at: &lt;http://www.forestsclimatechange.org/global-comparative-study-on-redd.html&gt;.</w:t>
      </w:r>
    </w:p>
  </w:footnote>
  <w:footnote w:id="101">
    <w:p w14:paraId="3946CC0B" w14:textId="77777777" w:rsidR="002E53A9" w:rsidRPr="00D16599" w:rsidRDefault="002E53A9" w:rsidP="002E53A9">
      <w:pPr>
        <w:pStyle w:val="FootnoteText"/>
        <w:rPr>
          <w:szCs w:val="20"/>
          <w:lang w:val="en-GB"/>
        </w:rPr>
      </w:pPr>
      <w:r w:rsidRPr="00D16599">
        <w:rPr>
          <w:rStyle w:val="FootnoteReference"/>
          <w:sz w:val="20"/>
          <w:szCs w:val="20"/>
          <w:lang w:val="en-GB"/>
        </w:rPr>
        <w:footnoteRef/>
      </w:r>
      <w:r w:rsidRPr="00D16599">
        <w:rPr>
          <w:szCs w:val="20"/>
          <w:lang w:val="en-GB"/>
        </w:rPr>
        <w:t xml:space="preserve"> Orenstein, </w:t>
      </w:r>
      <w:r w:rsidRPr="00D16599">
        <w:rPr>
          <w:i/>
          <w:szCs w:val="20"/>
          <w:lang w:val="en-GB"/>
        </w:rPr>
        <w:t>supra</w:t>
      </w:r>
      <w:r w:rsidRPr="00D16599">
        <w:rPr>
          <w:szCs w:val="20"/>
          <w:lang w:val="en-GB"/>
        </w:rPr>
        <w:t xml:space="preserve"> note </w:t>
      </w:r>
      <w:r w:rsidRPr="00D16599">
        <w:rPr>
          <w:szCs w:val="20"/>
          <w:lang w:val="en-GB"/>
        </w:rPr>
        <w:fldChar w:fldCharType="begin"/>
      </w:r>
      <w:r w:rsidRPr="00D16599">
        <w:rPr>
          <w:szCs w:val="20"/>
          <w:lang w:val="en-GB"/>
        </w:rPr>
        <w:instrText xml:space="preserve"> NOTEREF _Ref223423181 \h </w:instrText>
      </w:r>
      <w:r w:rsidRPr="00D16599">
        <w:rPr>
          <w:szCs w:val="20"/>
          <w:lang w:val="en-GB"/>
        </w:rPr>
      </w:r>
      <w:r w:rsidRPr="00D16599">
        <w:rPr>
          <w:szCs w:val="20"/>
          <w:lang w:val="en-GB"/>
        </w:rPr>
        <w:fldChar w:fldCharType="separate"/>
      </w:r>
      <w:r w:rsidR="000E69E4">
        <w:rPr>
          <w:szCs w:val="20"/>
          <w:lang w:val="en-GB"/>
        </w:rPr>
        <w:t>13</w:t>
      </w:r>
      <w:r w:rsidRPr="00D16599">
        <w:rPr>
          <w:szCs w:val="20"/>
          <w:lang w:val="en-GB"/>
        </w:rPr>
        <w:fldChar w:fldCharType="end"/>
      </w:r>
      <w:r w:rsidRPr="00D16599">
        <w:rPr>
          <w:szCs w:val="20"/>
          <w:lang w:val="en-GB"/>
        </w:rPr>
        <w:t xml:space="preserve"> at 59.</w:t>
      </w:r>
    </w:p>
  </w:footnote>
  <w:footnote w:id="102">
    <w:p w14:paraId="60DFE01D" w14:textId="4DC94375" w:rsidR="002E53A9" w:rsidRPr="001D1CA1" w:rsidRDefault="002E53A9" w:rsidP="001D1CA1">
      <w:pPr>
        <w:pStyle w:val="FootnoteText"/>
        <w:rPr>
          <w:szCs w:val="20"/>
          <w:lang w:val="en-GB"/>
        </w:rPr>
      </w:pPr>
      <w:r w:rsidRPr="001D1CA1">
        <w:rPr>
          <w:rStyle w:val="FootnoteReference"/>
          <w:sz w:val="20"/>
          <w:szCs w:val="20"/>
          <w:lang w:val="en-GB"/>
        </w:rPr>
        <w:footnoteRef/>
      </w:r>
      <w:r w:rsidRPr="001D1CA1">
        <w:rPr>
          <w:szCs w:val="20"/>
          <w:lang w:val="en-GB"/>
        </w:rPr>
        <w:t xml:space="preserve"> Orenstein, </w:t>
      </w:r>
      <w:r w:rsidRPr="001D1CA1">
        <w:rPr>
          <w:i/>
          <w:szCs w:val="20"/>
          <w:lang w:val="en-GB"/>
        </w:rPr>
        <w:t>supra</w:t>
      </w:r>
      <w:r w:rsidRPr="001D1CA1">
        <w:rPr>
          <w:szCs w:val="20"/>
          <w:lang w:val="en-GB"/>
        </w:rPr>
        <w:t xml:space="preserve"> note </w:t>
      </w:r>
      <w:r w:rsidRPr="001D1CA1">
        <w:rPr>
          <w:szCs w:val="20"/>
          <w:lang w:val="en-GB"/>
        </w:rPr>
        <w:fldChar w:fldCharType="begin"/>
      </w:r>
      <w:r w:rsidRPr="001D1CA1">
        <w:rPr>
          <w:szCs w:val="20"/>
          <w:lang w:val="en-GB"/>
        </w:rPr>
        <w:instrText xml:space="preserve"> NOTEREF _Ref223423181 \h </w:instrText>
      </w:r>
      <w:r w:rsidRPr="001D1CA1">
        <w:rPr>
          <w:szCs w:val="20"/>
          <w:lang w:val="en-GB"/>
        </w:rPr>
      </w:r>
      <w:r w:rsidRPr="001D1CA1">
        <w:rPr>
          <w:szCs w:val="20"/>
          <w:lang w:val="en-GB"/>
        </w:rPr>
        <w:fldChar w:fldCharType="separate"/>
      </w:r>
      <w:r w:rsidR="000E69E4">
        <w:rPr>
          <w:szCs w:val="20"/>
          <w:lang w:val="en-GB"/>
        </w:rPr>
        <w:t>13</w:t>
      </w:r>
      <w:r w:rsidRPr="001D1CA1">
        <w:rPr>
          <w:szCs w:val="20"/>
          <w:lang w:val="en-GB"/>
        </w:rPr>
        <w:fldChar w:fldCharType="end"/>
      </w:r>
      <w:r w:rsidRPr="001D1CA1">
        <w:rPr>
          <w:szCs w:val="20"/>
          <w:lang w:val="en-GB"/>
        </w:rPr>
        <w:t xml:space="preserve">; Beth Simmons, Frank Dobbin &amp; Geoffrey Garrett, “Introduction: The International Diffusion of Liberalism” (2006) 60:4 International Organization 781-810; Steven Bernstein &amp; Benjamin Cashore, “Complex global governance and domestic policies: four pathways of influence” (2012) 88:3 International Affairs 1-20; Michael Howlett &amp; M Ramesh, “The Policy Effects of Internationalization: A Subsystem Adjustment Analysis of Policy Change” (2002) 4:1 Journal of Comparative Policy Analysis 31-50; Thomas Risse-Kappen, “Exploring the Nature of the Beast: International Relations Theory and Comparative Policy Analysis Meet the European Union” (1996) 34(1) Journal of Common Market Studies 53-80; </w:t>
      </w:r>
    </w:p>
  </w:footnote>
  <w:footnote w:id="103">
    <w:p w14:paraId="0D6FFE86" w14:textId="150916FA" w:rsidR="002E53A9" w:rsidRPr="001D1CA1" w:rsidRDefault="002E53A9" w:rsidP="001D1CA1">
      <w:pPr>
        <w:pStyle w:val="FootnoteText"/>
        <w:rPr>
          <w:szCs w:val="20"/>
          <w:lang w:val="fr-FR"/>
        </w:rPr>
      </w:pPr>
      <w:r w:rsidRPr="001D1CA1">
        <w:rPr>
          <w:rStyle w:val="FootnoteReference"/>
          <w:sz w:val="20"/>
          <w:szCs w:val="20"/>
        </w:rPr>
        <w:footnoteRef/>
      </w:r>
      <w:r w:rsidRPr="001D1CA1">
        <w:rPr>
          <w:szCs w:val="20"/>
        </w:rPr>
        <w:t xml:space="preserve"> </w:t>
      </w:r>
      <w:r w:rsidRPr="001D1CA1">
        <w:rPr>
          <w:szCs w:val="20"/>
          <w:lang w:val="en-GB"/>
        </w:rPr>
        <w:t xml:space="preserve">Orenstein, </w:t>
      </w:r>
      <w:r w:rsidRPr="001D1CA1">
        <w:rPr>
          <w:i/>
          <w:szCs w:val="20"/>
          <w:lang w:val="en-GB"/>
        </w:rPr>
        <w:t>supra</w:t>
      </w:r>
      <w:r w:rsidRPr="001D1CA1">
        <w:rPr>
          <w:szCs w:val="20"/>
          <w:lang w:val="en-GB"/>
        </w:rPr>
        <w:t xml:space="preserve"> note </w:t>
      </w:r>
      <w:r w:rsidRPr="001D1CA1">
        <w:rPr>
          <w:szCs w:val="20"/>
          <w:lang w:val="en-GB"/>
        </w:rPr>
        <w:fldChar w:fldCharType="begin"/>
      </w:r>
      <w:r w:rsidRPr="001D1CA1">
        <w:rPr>
          <w:szCs w:val="20"/>
          <w:lang w:val="en-GB"/>
        </w:rPr>
        <w:instrText xml:space="preserve"> NOTEREF _Ref223423181 \h </w:instrText>
      </w:r>
      <w:r w:rsidRPr="001D1CA1">
        <w:rPr>
          <w:szCs w:val="20"/>
          <w:lang w:val="en-GB"/>
        </w:rPr>
      </w:r>
      <w:r w:rsidRPr="001D1CA1">
        <w:rPr>
          <w:szCs w:val="20"/>
          <w:lang w:val="en-GB"/>
        </w:rPr>
        <w:fldChar w:fldCharType="separate"/>
      </w:r>
      <w:r w:rsidR="000E69E4">
        <w:rPr>
          <w:szCs w:val="20"/>
          <w:lang w:val="en-GB"/>
        </w:rPr>
        <w:t>13</w:t>
      </w:r>
      <w:r w:rsidRPr="001D1CA1">
        <w:rPr>
          <w:szCs w:val="20"/>
          <w:lang w:val="en-GB"/>
        </w:rPr>
        <w:fldChar w:fldCharType="end"/>
      </w:r>
      <w:r w:rsidRPr="001D1CA1">
        <w:rPr>
          <w:szCs w:val="20"/>
          <w:lang w:val="en-GB"/>
        </w:rPr>
        <w:t xml:space="preserve"> at 4; Martha Finnemore, “International Organizations as Teachers of Norms: The United Nations Education, Scientific, and Cultural Organization and Science Policy” (1993) 47:4 International Organization 565-597; Diane Stone, “Global Public Policy, Transnational Policy Communities, and Their Networks” (2008) 36:1 Policy Studies Journal 19-38; Margaret E. Keck &amp; Kathryn Sikkink, </w:t>
      </w:r>
      <w:r w:rsidRPr="001D1CA1">
        <w:rPr>
          <w:i/>
          <w:szCs w:val="20"/>
          <w:lang w:val="en-GB"/>
        </w:rPr>
        <w:t xml:space="preserve">Activists Beyond Borders. Advocacy Networks in International Politics </w:t>
      </w:r>
      <w:r w:rsidRPr="001D1CA1">
        <w:rPr>
          <w:szCs w:val="20"/>
          <w:lang w:val="en-GB"/>
        </w:rPr>
        <w:t>(Ithaca, NY: Cornell University Press, 1998); Susan K. Sell &amp; Aseem Prakash, “Using Ideas Strategically: The Contest Between Business and NGO Networks in Intellectual Property Rights” (2004) 48:1 International Studies Quarterly 143-175.</w:t>
      </w:r>
    </w:p>
  </w:footnote>
  <w:footnote w:id="104">
    <w:p w14:paraId="1D02CE32" w14:textId="628A6481" w:rsidR="002E53A9" w:rsidRPr="001D1CA1" w:rsidRDefault="002E53A9" w:rsidP="001D1CA1">
      <w:pPr>
        <w:pStyle w:val="FootnoteText"/>
        <w:rPr>
          <w:szCs w:val="20"/>
          <w:lang w:val="en-GB"/>
        </w:rPr>
      </w:pPr>
      <w:r w:rsidRPr="001D1CA1">
        <w:rPr>
          <w:rStyle w:val="FootnoteReference"/>
          <w:sz w:val="20"/>
          <w:szCs w:val="20"/>
          <w:lang w:val="en-GB"/>
        </w:rPr>
        <w:footnoteRef/>
      </w:r>
      <w:r w:rsidRPr="001D1CA1">
        <w:rPr>
          <w:szCs w:val="20"/>
          <w:lang w:val="en-GB"/>
        </w:rPr>
        <w:t xml:space="preserve"> Orenstein, </w:t>
      </w:r>
      <w:r w:rsidRPr="001D1CA1">
        <w:rPr>
          <w:i/>
          <w:szCs w:val="20"/>
          <w:lang w:val="en-GB"/>
        </w:rPr>
        <w:t>supra</w:t>
      </w:r>
      <w:r w:rsidRPr="001D1CA1">
        <w:rPr>
          <w:szCs w:val="20"/>
          <w:lang w:val="en-GB"/>
        </w:rPr>
        <w:t xml:space="preserve"> note </w:t>
      </w:r>
      <w:r w:rsidRPr="001D1CA1">
        <w:rPr>
          <w:szCs w:val="20"/>
          <w:lang w:val="en-GB"/>
        </w:rPr>
        <w:fldChar w:fldCharType="begin"/>
      </w:r>
      <w:r w:rsidRPr="001D1CA1">
        <w:rPr>
          <w:szCs w:val="20"/>
          <w:lang w:val="en-GB"/>
        </w:rPr>
        <w:instrText xml:space="preserve"> NOTEREF _Ref223423181 \h </w:instrText>
      </w:r>
      <w:r w:rsidRPr="001D1CA1">
        <w:rPr>
          <w:szCs w:val="20"/>
          <w:lang w:val="en-GB"/>
        </w:rPr>
      </w:r>
      <w:r w:rsidRPr="001D1CA1">
        <w:rPr>
          <w:szCs w:val="20"/>
          <w:lang w:val="en-GB"/>
        </w:rPr>
        <w:fldChar w:fldCharType="separate"/>
      </w:r>
      <w:r w:rsidR="000E69E4">
        <w:rPr>
          <w:szCs w:val="20"/>
          <w:lang w:val="en-GB"/>
        </w:rPr>
        <w:t>13</w:t>
      </w:r>
      <w:r w:rsidRPr="001D1CA1">
        <w:rPr>
          <w:szCs w:val="20"/>
          <w:lang w:val="en-GB"/>
        </w:rPr>
        <w:fldChar w:fldCharType="end"/>
      </w:r>
      <w:r w:rsidRPr="001D1CA1">
        <w:rPr>
          <w:szCs w:val="20"/>
          <w:lang w:val="en-GB"/>
        </w:rPr>
        <w:t xml:space="preserve"> at 56-58. See also Paul F. Steinberg, </w:t>
      </w:r>
      <w:r w:rsidRPr="001D1CA1">
        <w:rPr>
          <w:i/>
          <w:szCs w:val="20"/>
          <w:lang w:val="en-GB"/>
        </w:rPr>
        <w:t>Environmental Leadership in Developing Countries. Transnational Relations and Biodiversity Policy in Costa Rica and Bolivia</w:t>
      </w:r>
      <w:r w:rsidRPr="001D1CA1">
        <w:rPr>
          <w:szCs w:val="20"/>
          <w:lang w:val="en-GB"/>
        </w:rPr>
        <w:t xml:space="preserve"> (Cambridge, MA : MIT Press, 2001); Wade Jacoby, “Minority Traditions and Post-Communist Politics: How Do IGOs Matter?” in Mitchell A. Orenstein, Stephen Bloom &amp; Nicole Lindstrom, (eds.), Transnational Actors in Central and East European Transitions (Pittsburgh, Pennsylvania: University of Pittsburgh Press, 2008) 56-76.</w:t>
      </w:r>
    </w:p>
  </w:footnote>
  <w:footnote w:id="105">
    <w:p w14:paraId="585E16B6" w14:textId="1C1AA667" w:rsidR="002E53A9" w:rsidRPr="001D1CA1" w:rsidRDefault="002E53A9" w:rsidP="001D1CA1">
      <w:pPr>
        <w:pStyle w:val="FootnoteText"/>
        <w:rPr>
          <w:szCs w:val="20"/>
          <w:lang w:val="en-GB"/>
        </w:rPr>
      </w:pPr>
      <w:r w:rsidRPr="001D1CA1">
        <w:rPr>
          <w:rStyle w:val="FootnoteReference"/>
          <w:sz w:val="20"/>
          <w:szCs w:val="20"/>
          <w:lang w:val="en-GB"/>
        </w:rPr>
        <w:footnoteRef/>
      </w:r>
      <w:r w:rsidRPr="001D1CA1">
        <w:rPr>
          <w:szCs w:val="20"/>
          <w:lang w:val="en-GB"/>
        </w:rPr>
        <w:t xml:space="preserve"> Simmons, Dobbin &amp; Garrett, </w:t>
      </w:r>
      <w:r w:rsidRPr="001D1CA1">
        <w:rPr>
          <w:i/>
          <w:szCs w:val="20"/>
          <w:lang w:val="en-GB"/>
        </w:rPr>
        <w:t>supra</w:t>
      </w:r>
      <w:r w:rsidRPr="001D1CA1">
        <w:rPr>
          <w:szCs w:val="20"/>
          <w:lang w:val="en-GB"/>
        </w:rPr>
        <w:t xml:space="preserve"> note </w:t>
      </w:r>
      <w:r w:rsidRPr="001D1CA1">
        <w:rPr>
          <w:szCs w:val="20"/>
          <w:lang w:val="en-GB"/>
        </w:rPr>
        <w:fldChar w:fldCharType="begin"/>
      </w:r>
      <w:r w:rsidRPr="001D1CA1">
        <w:rPr>
          <w:szCs w:val="20"/>
          <w:lang w:val="en-GB"/>
        </w:rPr>
        <w:instrText xml:space="preserve"> NOTEREF _Ref219177069 \h </w:instrText>
      </w:r>
      <w:r w:rsidRPr="001D1CA1">
        <w:rPr>
          <w:szCs w:val="20"/>
          <w:lang w:val="en-GB"/>
        </w:rPr>
      </w:r>
      <w:r w:rsidRPr="001D1CA1">
        <w:rPr>
          <w:szCs w:val="20"/>
          <w:lang w:val="en-GB"/>
        </w:rPr>
        <w:fldChar w:fldCharType="separate"/>
      </w:r>
      <w:r w:rsidR="000E69E4">
        <w:rPr>
          <w:szCs w:val="20"/>
          <w:lang w:val="en-GB"/>
        </w:rPr>
        <w:t>101</w:t>
      </w:r>
      <w:r w:rsidRPr="001D1CA1">
        <w:rPr>
          <w:szCs w:val="20"/>
          <w:lang w:val="en-GB"/>
        </w:rPr>
        <w:fldChar w:fldCharType="end"/>
      </w:r>
      <w:r w:rsidRPr="001D1CA1">
        <w:rPr>
          <w:szCs w:val="20"/>
          <w:lang w:val="en-GB"/>
        </w:rPr>
        <w:t xml:space="preserve"> (setting out emulation, coercion, competition and learning as causal mechanisms of policy diffusion); Orenstein, </w:t>
      </w:r>
      <w:r w:rsidRPr="001D1CA1">
        <w:rPr>
          <w:i/>
          <w:szCs w:val="20"/>
          <w:lang w:val="en-GB"/>
        </w:rPr>
        <w:t>supra</w:t>
      </w:r>
      <w:r w:rsidRPr="001D1CA1">
        <w:rPr>
          <w:szCs w:val="20"/>
          <w:lang w:val="en-GB"/>
        </w:rPr>
        <w:t xml:space="preserve"> note </w:t>
      </w:r>
      <w:r w:rsidRPr="001D1CA1">
        <w:rPr>
          <w:szCs w:val="20"/>
          <w:lang w:val="en-GB"/>
        </w:rPr>
        <w:fldChar w:fldCharType="begin"/>
      </w:r>
      <w:r w:rsidRPr="001D1CA1">
        <w:rPr>
          <w:szCs w:val="20"/>
          <w:lang w:val="en-GB"/>
        </w:rPr>
        <w:instrText xml:space="preserve"> NOTEREF _Ref223423181 \h </w:instrText>
      </w:r>
      <w:r w:rsidRPr="001D1CA1">
        <w:rPr>
          <w:szCs w:val="20"/>
          <w:lang w:val="en-GB"/>
        </w:rPr>
      </w:r>
      <w:r w:rsidRPr="001D1CA1">
        <w:rPr>
          <w:szCs w:val="20"/>
          <w:lang w:val="en-GB"/>
        </w:rPr>
        <w:fldChar w:fldCharType="separate"/>
      </w:r>
      <w:r w:rsidR="000E69E4">
        <w:rPr>
          <w:szCs w:val="20"/>
          <w:lang w:val="en-GB"/>
        </w:rPr>
        <w:t>13</w:t>
      </w:r>
      <w:r w:rsidRPr="001D1CA1">
        <w:rPr>
          <w:szCs w:val="20"/>
          <w:lang w:val="en-GB"/>
        </w:rPr>
        <w:fldChar w:fldCharType="end"/>
      </w:r>
      <w:r w:rsidRPr="001D1CA1">
        <w:rPr>
          <w:szCs w:val="20"/>
          <w:lang w:val="en-GB"/>
        </w:rPr>
        <w:t xml:space="preserve"> at 66 (identifying norms creation, norms teaching, and resource leveraging as modes of transnational policy influence); Bernstein &amp; Cashore, </w:t>
      </w:r>
      <w:r w:rsidRPr="001D1CA1">
        <w:rPr>
          <w:i/>
          <w:szCs w:val="20"/>
          <w:lang w:val="en-GB"/>
        </w:rPr>
        <w:t xml:space="preserve">supra </w:t>
      </w:r>
      <w:r w:rsidRPr="001D1CA1">
        <w:rPr>
          <w:szCs w:val="20"/>
          <w:lang w:val="en-GB"/>
        </w:rPr>
        <w:t xml:space="preserve">note </w:t>
      </w:r>
      <w:r w:rsidRPr="001D1CA1">
        <w:rPr>
          <w:szCs w:val="20"/>
          <w:lang w:val="en-GB"/>
        </w:rPr>
        <w:fldChar w:fldCharType="begin"/>
      </w:r>
      <w:r w:rsidRPr="001D1CA1">
        <w:rPr>
          <w:szCs w:val="20"/>
          <w:lang w:val="en-GB"/>
        </w:rPr>
        <w:instrText xml:space="preserve"> NOTEREF _Ref219177069 \h </w:instrText>
      </w:r>
      <w:r w:rsidRPr="001D1CA1">
        <w:rPr>
          <w:szCs w:val="20"/>
          <w:lang w:val="en-GB"/>
        </w:rPr>
      </w:r>
      <w:r w:rsidRPr="001D1CA1">
        <w:rPr>
          <w:szCs w:val="20"/>
          <w:lang w:val="en-GB"/>
        </w:rPr>
        <w:fldChar w:fldCharType="separate"/>
      </w:r>
      <w:r w:rsidR="000E69E4">
        <w:rPr>
          <w:szCs w:val="20"/>
          <w:lang w:val="en-GB"/>
        </w:rPr>
        <w:t>101</w:t>
      </w:r>
      <w:r w:rsidRPr="001D1CA1">
        <w:rPr>
          <w:szCs w:val="20"/>
          <w:lang w:val="en-GB"/>
        </w:rPr>
        <w:fldChar w:fldCharType="end"/>
      </w:r>
      <w:r w:rsidRPr="001D1CA1">
        <w:rPr>
          <w:szCs w:val="20"/>
          <w:lang w:val="en-GB"/>
        </w:rPr>
        <w:t xml:space="preserve"> (referring to international rules, international norms and discourses, markets, and direct access to domestic-policy-making as international pathways of influence); Liliana B. Andonova, Michele M Betsill &amp; Harriet Bulkeley, “Transnational Climate Governance” (2009) 9:2 Global Environmental Politics 52-73 (identifying information sharing, capacity-building and implementation, and rule-setting as the key functions of transnational governance networks).</w:t>
      </w:r>
    </w:p>
  </w:footnote>
  <w:footnote w:id="106">
    <w:p w14:paraId="34979554" w14:textId="2052B60F" w:rsidR="002E53A9" w:rsidRPr="001D1CA1" w:rsidRDefault="002E53A9" w:rsidP="001D1CA1">
      <w:pPr>
        <w:pStyle w:val="FootnoteText"/>
        <w:rPr>
          <w:szCs w:val="20"/>
          <w:lang w:val="en-GB"/>
        </w:rPr>
      </w:pPr>
      <w:r w:rsidRPr="001D1CA1">
        <w:rPr>
          <w:rStyle w:val="FootnoteReference"/>
          <w:sz w:val="20"/>
          <w:szCs w:val="20"/>
          <w:lang w:val="en-GB"/>
        </w:rPr>
        <w:footnoteRef/>
      </w:r>
      <w:r w:rsidRPr="001D1CA1">
        <w:rPr>
          <w:szCs w:val="20"/>
          <w:lang w:val="en-GB"/>
        </w:rPr>
        <w:t xml:space="preserve"> Orenstein, </w:t>
      </w:r>
      <w:r w:rsidRPr="001D1CA1">
        <w:rPr>
          <w:i/>
          <w:szCs w:val="20"/>
          <w:lang w:val="en-GB"/>
        </w:rPr>
        <w:t>supra</w:t>
      </w:r>
      <w:r w:rsidRPr="001D1CA1">
        <w:rPr>
          <w:szCs w:val="20"/>
          <w:lang w:val="en-GB"/>
        </w:rPr>
        <w:t xml:space="preserve"> note </w:t>
      </w:r>
      <w:r w:rsidRPr="001D1CA1">
        <w:rPr>
          <w:szCs w:val="20"/>
          <w:lang w:val="en-GB"/>
        </w:rPr>
        <w:fldChar w:fldCharType="begin"/>
      </w:r>
      <w:r w:rsidRPr="001D1CA1">
        <w:rPr>
          <w:szCs w:val="20"/>
          <w:lang w:val="en-GB"/>
        </w:rPr>
        <w:instrText xml:space="preserve"> NOTEREF _Ref223423181 \h </w:instrText>
      </w:r>
      <w:r w:rsidRPr="001D1CA1">
        <w:rPr>
          <w:szCs w:val="20"/>
          <w:lang w:val="en-GB"/>
        </w:rPr>
      </w:r>
      <w:r w:rsidRPr="001D1CA1">
        <w:rPr>
          <w:szCs w:val="20"/>
          <w:lang w:val="en-GB"/>
        </w:rPr>
        <w:fldChar w:fldCharType="separate"/>
      </w:r>
      <w:r w:rsidR="000E69E4">
        <w:rPr>
          <w:szCs w:val="20"/>
          <w:lang w:val="en-GB"/>
        </w:rPr>
        <w:t>13</w:t>
      </w:r>
      <w:r w:rsidRPr="001D1CA1">
        <w:rPr>
          <w:szCs w:val="20"/>
          <w:lang w:val="en-GB"/>
        </w:rPr>
        <w:fldChar w:fldCharType="end"/>
      </w:r>
      <w:r w:rsidRPr="001D1CA1">
        <w:rPr>
          <w:szCs w:val="20"/>
          <w:lang w:val="en-GB"/>
        </w:rPr>
        <w:t xml:space="preserve"> at 63-66; Frank Dobbin, Beth Simmons &amp; Geoffrey Garrett, “The Global Diffusion of Public Policies: Social Construction, Coercion, Competition, or Learning?” (2007) 33 Annual Review of Sociology 449-47 at 461-462; Richard Rose, “What is lesson-drawing?” (1991) 11:1 </w:t>
      </w:r>
      <w:r w:rsidRPr="001D1CA1">
        <w:rPr>
          <w:iCs/>
          <w:szCs w:val="20"/>
          <w:lang w:val="en-GB"/>
        </w:rPr>
        <w:t>Journal of Public Policy</w:t>
      </w:r>
      <w:r w:rsidRPr="001D1CA1">
        <w:rPr>
          <w:szCs w:val="20"/>
          <w:lang w:val="en-GB"/>
        </w:rPr>
        <w:t xml:space="preserve"> 3-30.</w:t>
      </w:r>
    </w:p>
  </w:footnote>
  <w:footnote w:id="107">
    <w:p w14:paraId="095C1714" w14:textId="10B32989" w:rsidR="002E53A9" w:rsidRPr="001D1CA1" w:rsidRDefault="002E53A9" w:rsidP="001D1CA1">
      <w:pPr>
        <w:pStyle w:val="FootnoteText"/>
        <w:rPr>
          <w:szCs w:val="20"/>
          <w:lang w:val="en-GB"/>
        </w:rPr>
      </w:pPr>
      <w:r w:rsidRPr="001D1CA1">
        <w:rPr>
          <w:rStyle w:val="FootnoteReference"/>
          <w:sz w:val="20"/>
          <w:szCs w:val="20"/>
          <w:lang w:val="en-GB"/>
        </w:rPr>
        <w:footnoteRef/>
      </w:r>
      <w:r w:rsidRPr="001D1CA1">
        <w:rPr>
          <w:szCs w:val="20"/>
          <w:lang w:val="en-GB"/>
        </w:rPr>
        <w:t xml:space="preserve"> </w:t>
      </w:r>
      <w:r w:rsidRPr="001D1CA1">
        <w:rPr>
          <w:rFonts w:cs="Arial"/>
          <w:szCs w:val="20"/>
          <w:lang w:val="en-GB"/>
        </w:rPr>
        <w:t>Peter May, “Policy Learning and Failure” (1992) 12(4) Journal of Public Policy 331-354 at 335. In my analytical framework, I associate another important form of learning, social learning giving rise to redefined policy problems and objectives, with norm generation.</w:t>
      </w:r>
    </w:p>
  </w:footnote>
  <w:footnote w:id="108">
    <w:p w14:paraId="7EA2B8C9" w14:textId="7E7E17D6" w:rsidR="002E53A9" w:rsidRPr="001D1CA1" w:rsidRDefault="002E53A9" w:rsidP="001D1CA1">
      <w:pPr>
        <w:pStyle w:val="FootnoteText"/>
        <w:rPr>
          <w:szCs w:val="20"/>
          <w:lang w:val="fr-FR"/>
        </w:rPr>
      </w:pPr>
      <w:r w:rsidRPr="001D1CA1">
        <w:rPr>
          <w:rStyle w:val="FootnoteReference"/>
          <w:sz w:val="20"/>
          <w:szCs w:val="20"/>
        </w:rPr>
        <w:footnoteRef/>
      </w:r>
      <w:r w:rsidRPr="001D1CA1">
        <w:rPr>
          <w:szCs w:val="20"/>
        </w:rPr>
        <w:t xml:space="preserve"> </w:t>
      </w:r>
      <w:r w:rsidRPr="001D1CA1">
        <w:rPr>
          <w:szCs w:val="20"/>
          <w:lang w:val="en-GB"/>
        </w:rPr>
        <w:t xml:space="preserve">Orenstein, </w:t>
      </w:r>
      <w:r w:rsidRPr="001D1CA1">
        <w:rPr>
          <w:i/>
          <w:szCs w:val="20"/>
          <w:lang w:val="en-GB"/>
        </w:rPr>
        <w:t>supra</w:t>
      </w:r>
      <w:r w:rsidRPr="001D1CA1">
        <w:rPr>
          <w:szCs w:val="20"/>
          <w:lang w:val="en-GB"/>
        </w:rPr>
        <w:t xml:space="preserve"> note </w:t>
      </w:r>
      <w:r w:rsidRPr="001D1CA1">
        <w:rPr>
          <w:szCs w:val="20"/>
          <w:lang w:val="en-GB"/>
        </w:rPr>
        <w:fldChar w:fldCharType="begin"/>
      </w:r>
      <w:r w:rsidRPr="001D1CA1">
        <w:rPr>
          <w:szCs w:val="20"/>
          <w:lang w:val="en-GB"/>
        </w:rPr>
        <w:instrText xml:space="preserve"> NOTEREF _Ref223423181 \h </w:instrText>
      </w:r>
      <w:r w:rsidRPr="001D1CA1">
        <w:rPr>
          <w:szCs w:val="20"/>
          <w:lang w:val="en-GB"/>
        </w:rPr>
      </w:r>
      <w:r w:rsidRPr="001D1CA1">
        <w:rPr>
          <w:szCs w:val="20"/>
          <w:lang w:val="en-GB"/>
        </w:rPr>
        <w:fldChar w:fldCharType="separate"/>
      </w:r>
      <w:r w:rsidR="000E69E4">
        <w:rPr>
          <w:szCs w:val="20"/>
          <w:lang w:val="en-GB"/>
        </w:rPr>
        <w:t>13</w:t>
      </w:r>
      <w:r w:rsidRPr="001D1CA1">
        <w:rPr>
          <w:szCs w:val="20"/>
          <w:lang w:val="en-GB"/>
        </w:rPr>
        <w:fldChar w:fldCharType="end"/>
      </w:r>
      <w:r w:rsidRPr="001D1CA1">
        <w:rPr>
          <w:szCs w:val="20"/>
          <w:lang w:val="en-GB"/>
        </w:rPr>
        <w:t xml:space="preserve"> at 89.</w:t>
      </w:r>
    </w:p>
  </w:footnote>
  <w:footnote w:id="109">
    <w:p w14:paraId="50160700" w14:textId="0073E919" w:rsidR="002E53A9" w:rsidRPr="001D1CA1" w:rsidRDefault="002E53A9" w:rsidP="001D1CA1">
      <w:pPr>
        <w:pStyle w:val="FootnoteText"/>
        <w:rPr>
          <w:szCs w:val="20"/>
          <w:lang w:val="fr-FR"/>
        </w:rPr>
      </w:pPr>
      <w:r w:rsidRPr="001D1CA1">
        <w:rPr>
          <w:rStyle w:val="FootnoteReference"/>
          <w:sz w:val="20"/>
          <w:szCs w:val="20"/>
        </w:rPr>
        <w:footnoteRef/>
      </w:r>
      <w:r w:rsidRPr="001D1CA1">
        <w:rPr>
          <w:szCs w:val="20"/>
        </w:rPr>
        <w:t xml:space="preserve"> </w:t>
      </w:r>
      <w:r w:rsidRPr="001D1CA1">
        <w:rPr>
          <w:i/>
          <w:szCs w:val="20"/>
          <w:lang w:val="en-GB"/>
        </w:rPr>
        <w:t>Ibid.</w:t>
      </w:r>
      <w:r w:rsidRPr="001D1CA1">
        <w:rPr>
          <w:szCs w:val="20"/>
          <w:lang w:val="en-GB"/>
        </w:rPr>
        <w:t xml:space="preserve"> at 87-88; Steinberg, </w:t>
      </w:r>
      <w:r w:rsidRPr="001D1CA1">
        <w:rPr>
          <w:i/>
          <w:szCs w:val="20"/>
          <w:lang w:val="en-GB"/>
        </w:rPr>
        <w:t>supra</w:t>
      </w:r>
      <w:r w:rsidRPr="001D1CA1">
        <w:rPr>
          <w:szCs w:val="20"/>
          <w:lang w:val="en-GB"/>
        </w:rPr>
        <w:t xml:space="preserve"> note </w:t>
      </w:r>
      <w:r w:rsidRPr="001D1CA1">
        <w:rPr>
          <w:szCs w:val="20"/>
          <w:highlight w:val="yellow"/>
          <w:lang w:val="en-GB"/>
        </w:rPr>
        <w:fldChar w:fldCharType="begin"/>
      </w:r>
      <w:r w:rsidRPr="001D1CA1">
        <w:rPr>
          <w:szCs w:val="20"/>
          <w:lang w:val="en-GB"/>
        </w:rPr>
        <w:instrText xml:space="preserve"> NOTEREF _Ref223423637 \h </w:instrText>
      </w:r>
      <w:r w:rsidRPr="001D1CA1">
        <w:rPr>
          <w:szCs w:val="20"/>
          <w:highlight w:val="yellow"/>
          <w:lang w:val="en-GB"/>
        </w:rPr>
      </w:r>
      <w:r w:rsidRPr="001D1CA1">
        <w:rPr>
          <w:szCs w:val="20"/>
          <w:highlight w:val="yellow"/>
          <w:lang w:val="en-GB"/>
        </w:rPr>
        <w:fldChar w:fldCharType="separate"/>
      </w:r>
      <w:r w:rsidR="000E69E4">
        <w:rPr>
          <w:szCs w:val="20"/>
          <w:lang w:val="en-GB"/>
        </w:rPr>
        <w:t>103</w:t>
      </w:r>
      <w:r w:rsidRPr="001D1CA1">
        <w:rPr>
          <w:szCs w:val="20"/>
          <w:highlight w:val="yellow"/>
          <w:lang w:val="en-GB"/>
        </w:rPr>
        <w:fldChar w:fldCharType="end"/>
      </w:r>
      <w:r w:rsidRPr="001D1CA1">
        <w:rPr>
          <w:szCs w:val="20"/>
          <w:lang w:val="en-GB"/>
        </w:rPr>
        <w:t xml:space="preserve"> at 19-24</w:t>
      </w:r>
    </w:p>
  </w:footnote>
  <w:footnote w:id="110">
    <w:p w14:paraId="0AFCBD61" w14:textId="77777777" w:rsidR="002E53A9" w:rsidRPr="001D1CA1" w:rsidRDefault="002E53A9" w:rsidP="001D1CA1">
      <w:pPr>
        <w:rPr>
          <w:bCs/>
          <w:sz w:val="20"/>
          <w:szCs w:val="20"/>
        </w:rPr>
      </w:pPr>
      <w:r w:rsidRPr="001D1CA1">
        <w:rPr>
          <w:rStyle w:val="FootnoteReference"/>
          <w:sz w:val="20"/>
          <w:szCs w:val="20"/>
        </w:rPr>
        <w:footnoteRef/>
      </w:r>
      <w:r w:rsidRPr="001D1CA1">
        <w:rPr>
          <w:sz w:val="20"/>
          <w:szCs w:val="20"/>
        </w:rPr>
        <w:t xml:space="preserve"> </w:t>
      </w:r>
      <w:r w:rsidRPr="001D1CA1">
        <w:rPr>
          <w:bCs/>
          <w:sz w:val="20"/>
          <w:szCs w:val="20"/>
        </w:rPr>
        <w:t>UN-REDD Programme</w:t>
      </w:r>
      <w:r w:rsidRPr="001D1CA1">
        <w:rPr>
          <w:bCs/>
          <w:i/>
          <w:sz w:val="20"/>
          <w:szCs w:val="20"/>
        </w:rPr>
        <w:t xml:space="preserve">, </w:t>
      </w:r>
      <w:r w:rsidRPr="001D1CA1">
        <w:rPr>
          <w:bCs/>
          <w:sz w:val="20"/>
          <w:szCs w:val="20"/>
        </w:rPr>
        <w:t>UN-REDD Programme Guidelines on Free, Prior and Informed Consent, Draft for Comment – December 2011,</w:t>
      </w:r>
      <w:r w:rsidRPr="001D1CA1">
        <w:rPr>
          <w:bCs/>
          <w:i/>
          <w:sz w:val="20"/>
          <w:szCs w:val="20"/>
        </w:rPr>
        <w:t xml:space="preserve"> </w:t>
      </w:r>
      <w:r w:rsidRPr="001D1CA1">
        <w:rPr>
          <w:bCs/>
          <w:sz w:val="20"/>
          <w:szCs w:val="20"/>
        </w:rPr>
        <w:t>available at: http://www.unredd.net/index.php?option=com_docman&amp;task=cat_view&amp;gid=1333&amp;Itemid=53.</w:t>
      </w:r>
    </w:p>
  </w:footnote>
  <w:footnote w:id="111">
    <w:p w14:paraId="1CF9E75D" w14:textId="77777777"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Forest Carbon Partnership Facility: Guidelines on Stakeholder Engagement in REDD+ Readiness, With a Focus on Indigenous Peoples and Other Forest-Dependent Communities Draft - November 17, 2010</w:t>
      </w:r>
    </w:p>
    <w:p w14:paraId="3A2DAC4F" w14:textId="77777777" w:rsidR="002E53A9" w:rsidRPr="001D1CA1" w:rsidRDefault="002E53A9" w:rsidP="001D1CA1">
      <w:pPr>
        <w:pStyle w:val="FootnoteText"/>
        <w:rPr>
          <w:szCs w:val="20"/>
        </w:rPr>
      </w:pPr>
      <w:r w:rsidRPr="001D1CA1">
        <w:rPr>
          <w:szCs w:val="20"/>
        </w:rPr>
        <w:t>http://www.forestcarbonpartnership.org/fcp/sites/forestcarbonpartnership.org/files/Documents/PDF/Nov2010/FCPF%20UN-REDD%20Stakeholder%20Guidelines%20Note%20Draft%2011-17-10.pdf.</w:t>
      </w:r>
    </w:p>
  </w:footnote>
  <w:footnote w:id="112">
    <w:p w14:paraId="05381E28" w14:textId="77777777"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w:t>
      </w:r>
      <w:r w:rsidRPr="001D1CA1">
        <w:rPr>
          <w:bCs/>
          <w:szCs w:val="20"/>
        </w:rPr>
        <w:t>RECOFTC, “Free, Prior, and Informed Consent in REDD+. Principles and Approaches for Policy and Project Development”</w:t>
      </w:r>
      <w:r w:rsidRPr="001D1CA1">
        <w:rPr>
          <w:bCs/>
          <w:i/>
          <w:szCs w:val="20"/>
        </w:rPr>
        <w:t xml:space="preserve"> </w:t>
      </w:r>
      <w:r w:rsidRPr="001D1CA1">
        <w:rPr>
          <w:bCs/>
          <w:szCs w:val="20"/>
        </w:rPr>
        <w:t xml:space="preserve">February 2011, available at: http://www.recoftc.org/site/uploads/content/pdf/FPICinREDDManual_127.pdf. </w:t>
      </w:r>
    </w:p>
  </w:footnote>
  <w:footnote w:id="113">
    <w:p w14:paraId="54E994A2" w14:textId="77777777" w:rsidR="002E53A9" w:rsidRPr="001D1CA1" w:rsidRDefault="002E53A9" w:rsidP="001D1CA1">
      <w:pPr>
        <w:pStyle w:val="FootnoteText"/>
        <w:rPr>
          <w:szCs w:val="20"/>
          <w:lang w:val="en-US"/>
        </w:rPr>
      </w:pPr>
      <w:r w:rsidRPr="001D1CA1">
        <w:rPr>
          <w:rStyle w:val="FootnoteReference"/>
          <w:sz w:val="20"/>
          <w:szCs w:val="20"/>
        </w:rPr>
        <w:footnoteRef/>
      </w:r>
      <w:r w:rsidRPr="001D1CA1">
        <w:rPr>
          <w:szCs w:val="20"/>
        </w:rPr>
        <w:t xml:space="preserve"> “</w:t>
      </w:r>
      <w:r w:rsidRPr="001D1CA1">
        <w:rPr>
          <w:bCs/>
          <w:szCs w:val="20"/>
          <w:lang w:val="en-US"/>
        </w:rPr>
        <w:t>REDD+ Social &amp;</w:t>
      </w:r>
      <w:r w:rsidRPr="001D1CA1">
        <w:rPr>
          <w:szCs w:val="20"/>
          <w:lang w:val="en-US"/>
        </w:rPr>
        <w:t xml:space="preserve"> </w:t>
      </w:r>
      <w:r w:rsidRPr="001D1CA1">
        <w:rPr>
          <w:bCs/>
          <w:szCs w:val="20"/>
          <w:lang w:val="en-US"/>
        </w:rPr>
        <w:t>Environmental</w:t>
      </w:r>
      <w:r w:rsidRPr="001D1CA1">
        <w:rPr>
          <w:szCs w:val="20"/>
          <w:lang w:val="en-US"/>
        </w:rPr>
        <w:t xml:space="preserve"> </w:t>
      </w:r>
      <w:r w:rsidRPr="001D1CA1">
        <w:rPr>
          <w:bCs/>
          <w:szCs w:val="20"/>
          <w:lang w:val="en-US"/>
        </w:rPr>
        <w:t>Standards</w:t>
      </w:r>
      <w:r w:rsidRPr="001D1CA1">
        <w:rPr>
          <w:szCs w:val="20"/>
          <w:lang w:val="en-US"/>
        </w:rPr>
        <w:t xml:space="preserve">,” Version 2, 10 September 2012, available at: &lt;http://www.redd-standards.org&gt; at </w:t>
      </w:r>
      <w:r w:rsidRPr="001D1CA1">
        <w:rPr>
          <w:szCs w:val="20"/>
          <w:lang w:val="fr-FR"/>
        </w:rPr>
        <w:t>3.</w:t>
      </w:r>
    </w:p>
  </w:footnote>
  <w:footnote w:id="114">
    <w:p w14:paraId="22F01D71" w14:textId="77777777" w:rsidR="002E53A9" w:rsidRPr="001D1CA1" w:rsidRDefault="002E53A9" w:rsidP="001D1CA1">
      <w:pPr>
        <w:pStyle w:val="FootnoteText"/>
        <w:rPr>
          <w:szCs w:val="20"/>
          <w:lang w:val="en-GB"/>
        </w:rPr>
      </w:pPr>
      <w:r w:rsidRPr="001D1CA1">
        <w:rPr>
          <w:rStyle w:val="FootnoteReference"/>
          <w:sz w:val="20"/>
          <w:szCs w:val="20"/>
          <w:lang w:val="en-GB"/>
        </w:rPr>
        <w:footnoteRef/>
      </w:r>
      <w:r w:rsidRPr="001D1CA1">
        <w:rPr>
          <w:szCs w:val="20"/>
          <w:lang w:val="en-GB"/>
        </w:rPr>
        <w:t xml:space="preserve"> Martha Finnemore &amp; Kathryn Sikkink, “International Norm Dynamics and Political Change” (1998) 52:4 International Organization 887-917 at 891-893.</w:t>
      </w:r>
    </w:p>
  </w:footnote>
  <w:footnote w:id="115">
    <w:p w14:paraId="6B703193" w14:textId="6CDF4174" w:rsidR="002E53A9" w:rsidRPr="001D1CA1" w:rsidRDefault="002E53A9" w:rsidP="001D1CA1">
      <w:pPr>
        <w:pStyle w:val="FootnoteText"/>
        <w:rPr>
          <w:szCs w:val="20"/>
          <w:lang w:val="fr-FR"/>
        </w:rPr>
      </w:pPr>
      <w:r w:rsidRPr="001D1CA1">
        <w:rPr>
          <w:rStyle w:val="FootnoteReference"/>
          <w:sz w:val="20"/>
          <w:szCs w:val="20"/>
        </w:rPr>
        <w:footnoteRef/>
      </w:r>
      <w:r w:rsidRPr="001D1CA1">
        <w:rPr>
          <w:szCs w:val="20"/>
        </w:rPr>
        <w:t xml:space="preserve"> </w:t>
      </w:r>
      <w:r w:rsidRPr="001D1CA1">
        <w:rPr>
          <w:szCs w:val="20"/>
          <w:lang w:val="en-GB"/>
        </w:rPr>
        <w:t xml:space="preserve">Jacqui True &amp; Michael Mintrom. “Transnational Networks and Policy Diffusion: The Case of Gender Mainstreaming” (2001) 45:1 International Studies Quarterly 27-57; Emanuel Adler &amp; Peter M. Haas, “Conclusion: Epistemic Communities, World Order, and the Creation of a Reflective Research Program” (1992) 46:1 International Organization 367-390; Martha Finnemore, </w:t>
      </w:r>
      <w:r w:rsidRPr="001D1CA1">
        <w:rPr>
          <w:i/>
          <w:szCs w:val="20"/>
          <w:lang w:val="en-GB"/>
        </w:rPr>
        <w:t>supra</w:t>
      </w:r>
      <w:r w:rsidRPr="001D1CA1">
        <w:rPr>
          <w:szCs w:val="20"/>
          <w:lang w:val="en-GB"/>
        </w:rPr>
        <w:t xml:space="preserve"> note </w:t>
      </w:r>
      <w:r w:rsidRPr="001D1CA1">
        <w:rPr>
          <w:szCs w:val="20"/>
          <w:lang w:val="en-GB"/>
        </w:rPr>
        <w:fldChar w:fldCharType="begin"/>
      </w:r>
      <w:r w:rsidRPr="001D1CA1">
        <w:rPr>
          <w:szCs w:val="20"/>
          <w:lang w:val="en-GB"/>
        </w:rPr>
        <w:instrText xml:space="preserve"> NOTEREF _Ref223606708 \h </w:instrText>
      </w:r>
      <w:r w:rsidRPr="001D1CA1">
        <w:rPr>
          <w:szCs w:val="20"/>
          <w:lang w:val="en-GB"/>
        </w:rPr>
      </w:r>
      <w:r w:rsidRPr="001D1CA1">
        <w:rPr>
          <w:szCs w:val="20"/>
          <w:lang w:val="en-GB"/>
        </w:rPr>
        <w:fldChar w:fldCharType="separate"/>
      </w:r>
      <w:r w:rsidR="000E69E4">
        <w:rPr>
          <w:szCs w:val="20"/>
          <w:lang w:val="en-GB"/>
        </w:rPr>
        <w:t>102</w:t>
      </w:r>
      <w:r w:rsidRPr="001D1CA1">
        <w:rPr>
          <w:szCs w:val="20"/>
          <w:lang w:val="en-GB"/>
        </w:rPr>
        <w:fldChar w:fldCharType="end"/>
      </w:r>
      <w:r w:rsidRPr="001D1CA1">
        <w:rPr>
          <w:szCs w:val="20"/>
          <w:lang w:val="en-GB"/>
        </w:rPr>
        <w:t xml:space="preserve">; Frank Biermann &amp; Bernd Siebenhüner, “The Influence of International Bureaucracies in World Politics: Findings form the MANUS Research Program” in Frank Biermann &amp; Bernd Siebenhüner, eds., </w:t>
      </w:r>
      <w:r w:rsidRPr="001D1CA1">
        <w:rPr>
          <w:i/>
          <w:szCs w:val="20"/>
          <w:lang w:val="en-GB"/>
        </w:rPr>
        <w:t>Managers of Global Change. The Influence of International Environmental Bureaucracies</w:t>
      </w:r>
      <w:r w:rsidRPr="001D1CA1">
        <w:rPr>
          <w:szCs w:val="20"/>
          <w:lang w:val="en-GB"/>
        </w:rPr>
        <w:t xml:space="preserve"> (Cambridge, MA: MIT Press, 2009) 319-350 at 340-341.</w:t>
      </w:r>
    </w:p>
  </w:footnote>
  <w:footnote w:id="116">
    <w:p w14:paraId="50EED989" w14:textId="77777777" w:rsidR="002E53A9" w:rsidRPr="001D1CA1" w:rsidRDefault="002E53A9" w:rsidP="001D1CA1">
      <w:pPr>
        <w:pStyle w:val="FootnoteText"/>
        <w:rPr>
          <w:szCs w:val="20"/>
          <w:lang w:val="en-GB"/>
        </w:rPr>
      </w:pPr>
      <w:r w:rsidRPr="001D1CA1">
        <w:rPr>
          <w:rStyle w:val="FootnoteReference"/>
          <w:sz w:val="20"/>
          <w:szCs w:val="20"/>
          <w:lang w:val="en-GB"/>
        </w:rPr>
        <w:footnoteRef/>
      </w:r>
      <w:r w:rsidRPr="001D1CA1">
        <w:rPr>
          <w:szCs w:val="20"/>
          <w:lang w:val="en-GB"/>
        </w:rPr>
        <w:t xml:space="preserve"> Jeffrey T. Checkel, “International Institutions and Socialization in Europe: Introduction and Framework” (2005) 59:4 International Organization 801-826. See also Thomas Risse &amp; Kathryn Sikkink, “The socialization of international human rights norms into domestic politics: introduction,” in Thomas Risse, Stephen C. Ropp &amp; Kathryn Sikkink, eds., </w:t>
      </w:r>
      <w:r w:rsidRPr="001D1CA1">
        <w:rPr>
          <w:i/>
          <w:szCs w:val="20"/>
          <w:lang w:val="en-GB"/>
        </w:rPr>
        <w:t xml:space="preserve">The Power of Human Rights. International Norms and Domestic Change </w:t>
      </w:r>
      <w:r w:rsidRPr="001D1CA1">
        <w:rPr>
          <w:szCs w:val="20"/>
          <w:lang w:val="en-GB"/>
        </w:rPr>
        <w:t>(Cambridge, UK: Cambridge University Press, 1999) 1-38.</w:t>
      </w:r>
    </w:p>
  </w:footnote>
  <w:footnote w:id="117">
    <w:p w14:paraId="2C5FAC13" w14:textId="77777777" w:rsidR="002E53A9" w:rsidRPr="001D1CA1" w:rsidRDefault="002E53A9" w:rsidP="001D1CA1">
      <w:pPr>
        <w:pStyle w:val="FootnoteText"/>
        <w:rPr>
          <w:szCs w:val="20"/>
          <w:lang w:val="en-GB"/>
        </w:rPr>
      </w:pPr>
      <w:r w:rsidRPr="001D1CA1">
        <w:rPr>
          <w:rStyle w:val="FootnoteReference"/>
          <w:sz w:val="20"/>
          <w:szCs w:val="20"/>
          <w:lang w:val="en-GB"/>
        </w:rPr>
        <w:footnoteRef/>
      </w:r>
      <w:r w:rsidRPr="001D1CA1">
        <w:rPr>
          <w:szCs w:val="20"/>
          <w:lang w:val="en-GB"/>
        </w:rPr>
        <w:t xml:space="preserve"> Finnemore &amp; Kathryn Sikkink, </w:t>
      </w:r>
      <w:r w:rsidRPr="001D1CA1">
        <w:rPr>
          <w:i/>
          <w:szCs w:val="20"/>
          <w:lang w:val="en-GB"/>
        </w:rPr>
        <w:t>supra</w:t>
      </w:r>
      <w:r w:rsidRPr="001D1CA1">
        <w:rPr>
          <w:szCs w:val="20"/>
          <w:lang w:val="en-GB"/>
        </w:rPr>
        <w:t xml:space="preserve"> note </w:t>
      </w:r>
      <w:r w:rsidRPr="001D1CA1">
        <w:rPr>
          <w:szCs w:val="20"/>
          <w:lang w:val="en-GB"/>
        </w:rPr>
        <w:fldChar w:fldCharType="begin"/>
      </w:r>
      <w:r w:rsidRPr="001D1CA1">
        <w:rPr>
          <w:szCs w:val="20"/>
          <w:lang w:val="en-GB"/>
        </w:rPr>
        <w:instrText xml:space="preserve"> NOTEREF _Ref219184607 \h </w:instrText>
      </w:r>
      <w:r w:rsidRPr="001D1CA1">
        <w:rPr>
          <w:szCs w:val="20"/>
          <w:lang w:val="en-GB"/>
        </w:rPr>
      </w:r>
      <w:r w:rsidRPr="001D1CA1">
        <w:rPr>
          <w:szCs w:val="20"/>
          <w:lang w:val="en-GB"/>
        </w:rPr>
        <w:fldChar w:fldCharType="separate"/>
      </w:r>
      <w:r w:rsidR="000E69E4">
        <w:rPr>
          <w:szCs w:val="20"/>
          <w:lang w:val="en-GB"/>
        </w:rPr>
        <w:t>113</w:t>
      </w:r>
      <w:r w:rsidRPr="001D1CA1">
        <w:rPr>
          <w:szCs w:val="20"/>
          <w:lang w:val="en-GB"/>
        </w:rPr>
        <w:fldChar w:fldCharType="end"/>
      </w:r>
      <w:r w:rsidRPr="001D1CA1">
        <w:rPr>
          <w:szCs w:val="20"/>
          <w:lang w:val="en-GB"/>
        </w:rPr>
        <w:t xml:space="preserve"> at 904-905.</w:t>
      </w:r>
    </w:p>
  </w:footnote>
  <w:footnote w:id="118">
    <w:p w14:paraId="6D590F02" w14:textId="32C9BB0A" w:rsidR="002E53A9" w:rsidRPr="001D1CA1" w:rsidRDefault="002E53A9" w:rsidP="001D1CA1">
      <w:pPr>
        <w:pStyle w:val="FootnoteText"/>
        <w:rPr>
          <w:szCs w:val="20"/>
          <w:lang w:val="en-GB"/>
        </w:rPr>
      </w:pPr>
      <w:r w:rsidRPr="001D1CA1">
        <w:rPr>
          <w:rStyle w:val="FootnoteReference"/>
          <w:sz w:val="20"/>
          <w:szCs w:val="20"/>
          <w:lang w:val="en-GB"/>
        </w:rPr>
        <w:footnoteRef/>
      </w:r>
      <w:r w:rsidRPr="001D1CA1">
        <w:rPr>
          <w:szCs w:val="20"/>
          <w:lang w:val="en-GB"/>
        </w:rPr>
        <w:t xml:space="preserve"> Ryan Goodman &amp; Derek Jinks, “How to Influence States: Socialization and International Human Rights Law” (2004) 54:3 Duke Law Journal 621-704 at 626. </w:t>
      </w:r>
      <w:r w:rsidRPr="001D1CA1">
        <w:rPr>
          <w:szCs w:val="20"/>
          <w:lang w:val="en-US"/>
        </w:rPr>
        <w:t xml:space="preserve">Although it is rather difficult to observe through empirical research, the difference between these two forms of socialization is important: while internalization leads to domestic policy actors to alter their </w:t>
      </w:r>
      <w:r w:rsidRPr="001D1CA1">
        <w:rPr>
          <w:szCs w:val="20"/>
        </w:rPr>
        <w:t xml:space="preserve">conception of the appropriateness of alternative policy beliefs, acculturation leads policy actors to adopt corresponding policy beliefs in response to social pressures in their environment, despite the fact that they have not fully internalized the appropriateness of this norm. </w:t>
      </w:r>
      <w:r w:rsidRPr="001D1CA1">
        <w:rPr>
          <w:szCs w:val="20"/>
          <w:lang w:val="en-GB"/>
        </w:rPr>
        <w:t>See also Paul Dimaggio &amp; Walter Powell, “The Iron Cage Revisited: Institutional Isomorphism and Collective Rationality in Organizational Fields” (1983) 48:2 American Sociological Review 147-160 (explaining a similar concept of mimetic isomorphic social pressures).</w:t>
      </w:r>
    </w:p>
  </w:footnote>
  <w:footnote w:id="119">
    <w:p w14:paraId="2BA0B4B8" w14:textId="2A1B43F8" w:rsidR="002E53A9" w:rsidRPr="001D1CA1" w:rsidRDefault="002E53A9" w:rsidP="001D1CA1">
      <w:pPr>
        <w:pStyle w:val="FootnoteText"/>
        <w:rPr>
          <w:szCs w:val="20"/>
          <w:lang w:val="en-GB"/>
        </w:rPr>
      </w:pPr>
      <w:r w:rsidRPr="001D1CA1">
        <w:rPr>
          <w:rStyle w:val="FootnoteReference"/>
          <w:sz w:val="20"/>
          <w:szCs w:val="20"/>
          <w:lang w:val="en-GB"/>
        </w:rPr>
        <w:footnoteRef/>
      </w:r>
      <w:r w:rsidRPr="001D1CA1">
        <w:rPr>
          <w:szCs w:val="20"/>
          <w:lang w:val="en-GB"/>
        </w:rPr>
        <w:t xml:space="preserve"> </w:t>
      </w:r>
      <w:r>
        <w:rPr>
          <w:szCs w:val="20"/>
          <w:lang w:val="en-GB"/>
        </w:rPr>
        <w:t xml:space="preserve">Jeffrey T. Checkel, </w:t>
      </w:r>
      <w:r w:rsidRPr="00D462A2">
        <w:rPr>
          <w:szCs w:val="20"/>
          <w:lang w:val="en-GB"/>
        </w:rPr>
        <w:t>“Why Comply ? Social Learning and European Identity Change” (2001) 55:3 International Organization 553</w:t>
      </w:r>
      <w:r>
        <w:rPr>
          <w:szCs w:val="20"/>
          <w:lang w:val="en-GB"/>
        </w:rPr>
        <w:t>-588</w:t>
      </w:r>
      <w:r w:rsidRPr="001D1CA1">
        <w:rPr>
          <w:szCs w:val="20"/>
          <w:lang w:val="en-GB"/>
        </w:rPr>
        <w:t xml:space="preserve"> at 557-558; Orenstein, </w:t>
      </w:r>
      <w:r w:rsidRPr="001D1CA1">
        <w:rPr>
          <w:i/>
          <w:szCs w:val="20"/>
          <w:lang w:val="en-GB"/>
        </w:rPr>
        <w:t>supra</w:t>
      </w:r>
      <w:r w:rsidRPr="001D1CA1">
        <w:rPr>
          <w:szCs w:val="20"/>
          <w:lang w:val="en-GB"/>
        </w:rPr>
        <w:t xml:space="preserve"> note </w:t>
      </w:r>
      <w:r w:rsidRPr="001D1CA1">
        <w:rPr>
          <w:szCs w:val="20"/>
          <w:lang w:val="en-GB"/>
        </w:rPr>
        <w:fldChar w:fldCharType="begin"/>
      </w:r>
      <w:r w:rsidRPr="001D1CA1">
        <w:rPr>
          <w:szCs w:val="20"/>
          <w:lang w:val="en-GB"/>
        </w:rPr>
        <w:instrText xml:space="preserve"> NOTEREF _Ref223423181 \h </w:instrText>
      </w:r>
      <w:r w:rsidRPr="001D1CA1">
        <w:rPr>
          <w:szCs w:val="20"/>
          <w:lang w:val="en-GB"/>
        </w:rPr>
      </w:r>
      <w:r w:rsidRPr="001D1CA1">
        <w:rPr>
          <w:szCs w:val="20"/>
          <w:lang w:val="en-GB"/>
        </w:rPr>
        <w:fldChar w:fldCharType="separate"/>
      </w:r>
      <w:r w:rsidR="000E69E4">
        <w:rPr>
          <w:szCs w:val="20"/>
          <w:lang w:val="en-GB"/>
        </w:rPr>
        <w:t>13</w:t>
      </w:r>
      <w:r w:rsidRPr="001D1CA1">
        <w:rPr>
          <w:szCs w:val="20"/>
          <w:lang w:val="en-GB"/>
        </w:rPr>
        <w:fldChar w:fldCharType="end"/>
      </w:r>
      <w:r w:rsidRPr="001D1CA1">
        <w:rPr>
          <w:szCs w:val="20"/>
          <w:lang w:val="en-GB"/>
        </w:rPr>
        <w:t xml:space="preserve"> at 89; Ryan Goodman &amp; Derek Jinks, “Incomplete Internalization and Compliance with Human Rights Law” (2008) 19:4 European Journal of International Law 725-748 at 734-736. See also Michael McCann, “Law and Social Movements: Contemporary Perspectives” (2006) 2:1 Annual Review of Law and Social Science 17 at 25-36; Beth A. Simmons, </w:t>
      </w:r>
      <w:r w:rsidRPr="001D1CA1">
        <w:rPr>
          <w:i/>
          <w:szCs w:val="20"/>
          <w:lang w:val="en-GB"/>
        </w:rPr>
        <w:t>Mobilizing for Human Rights: International Law in Domestic Politics</w:t>
      </w:r>
      <w:r w:rsidRPr="001D1CA1">
        <w:rPr>
          <w:szCs w:val="20"/>
          <w:lang w:val="en-GB"/>
        </w:rPr>
        <w:t xml:space="preserve"> (Cambridge: Cambridge University Press, 2010) at 7. </w:t>
      </w:r>
    </w:p>
  </w:footnote>
  <w:footnote w:id="120">
    <w:p w14:paraId="37C8AC94" w14:textId="09E63160" w:rsidR="002E53A9" w:rsidRPr="001D1CA1" w:rsidRDefault="002E53A9" w:rsidP="001D1CA1">
      <w:pPr>
        <w:pStyle w:val="FootnoteText"/>
        <w:rPr>
          <w:szCs w:val="20"/>
          <w:lang w:val="en-US"/>
        </w:rPr>
      </w:pPr>
      <w:r w:rsidRPr="001D1CA1">
        <w:rPr>
          <w:rStyle w:val="FootnoteReference"/>
          <w:sz w:val="20"/>
          <w:szCs w:val="20"/>
          <w:lang w:val="en-GB"/>
        </w:rPr>
        <w:footnoteRef/>
      </w:r>
      <w:r w:rsidRPr="001D1CA1">
        <w:rPr>
          <w:szCs w:val="20"/>
          <w:lang w:val="en-GB"/>
        </w:rPr>
        <w:t xml:space="preserve"> Andrew P. Cortell &amp; James W. Davis, “When norms clash: international norms, domestic practices, and Japan’s internalisation of the GATT/WTO” (2005) 31 Review of International Studies 3-25;  </w:t>
      </w:r>
      <w:r w:rsidRPr="001D1CA1">
        <w:rPr>
          <w:szCs w:val="20"/>
          <w:lang w:val="en-US"/>
        </w:rPr>
        <w:t xml:space="preserve">Amitav Acharya, “How ideas spread: whose norms matter? Norm localization and institutional change in Asian regionalism” (2004) 58(2) </w:t>
      </w:r>
      <w:r w:rsidRPr="001D1CA1">
        <w:rPr>
          <w:iCs/>
          <w:szCs w:val="20"/>
          <w:lang w:val="en-US"/>
        </w:rPr>
        <w:t>International Organization</w:t>
      </w:r>
      <w:r w:rsidRPr="001D1CA1">
        <w:rPr>
          <w:szCs w:val="20"/>
          <w:lang w:val="en-US"/>
        </w:rPr>
        <w:t xml:space="preserve"> 239-275. </w:t>
      </w:r>
    </w:p>
  </w:footnote>
  <w:footnote w:id="121">
    <w:p w14:paraId="06952DCA" w14:textId="771FCC47" w:rsidR="002E53A9" w:rsidRPr="001D1CA1" w:rsidRDefault="002E53A9" w:rsidP="001D1CA1">
      <w:pPr>
        <w:pStyle w:val="FootnoteText"/>
        <w:rPr>
          <w:szCs w:val="20"/>
          <w:lang w:val="fr-FR"/>
        </w:rPr>
      </w:pPr>
      <w:r w:rsidRPr="001D1CA1">
        <w:rPr>
          <w:rStyle w:val="FootnoteReference"/>
          <w:sz w:val="20"/>
          <w:szCs w:val="20"/>
        </w:rPr>
        <w:footnoteRef/>
      </w:r>
      <w:r w:rsidRPr="001D1CA1">
        <w:rPr>
          <w:szCs w:val="20"/>
        </w:rPr>
        <w:t xml:space="preserve"> </w:t>
      </w:r>
      <w:r w:rsidRPr="001D1CA1">
        <w:rPr>
          <w:szCs w:val="20"/>
          <w:lang w:val="en-GB"/>
        </w:rPr>
        <w:t xml:space="preserve">Sally Engle Merry, “Transnational Human Rights and Local Activism: Mapping the Middle” (2006) 108:1 American Anthropologist 38-51; Arharya, </w:t>
      </w:r>
      <w:r w:rsidRPr="001D1CA1">
        <w:rPr>
          <w:i/>
          <w:szCs w:val="20"/>
          <w:lang w:val="en-GB"/>
        </w:rPr>
        <w:t>supra</w:t>
      </w:r>
      <w:r w:rsidRPr="001D1CA1">
        <w:rPr>
          <w:szCs w:val="20"/>
          <w:lang w:val="en-GB"/>
        </w:rPr>
        <w:t xml:space="preserve"> note </w:t>
      </w:r>
      <w:r w:rsidRPr="001D1CA1">
        <w:rPr>
          <w:szCs w:val="20"/>
          <w:lang w:val="en-GB"/>
        </w:rPr>
        <w:fldChar w:fldCharType="begin"/>
      </w:r>
      <w:r w:rsidRPr="001D1CA1">
        <w:rPr>
          <w:szCs w:val="20"/>
          <w:lang w:val="en-GB"/>
        </w:rPr>
        <w:instrText xml:space="preserve"> NOTEREF _Ref224717887 \h </w:instrText>
      </w:r>
      <w:r w:rsidRPr="001D1CA1">
        <w:rPr>
          <w:szCs w:val="20"/>
          <w:lang w:val="en-GB"/>
        </w:rPr>
      </w:r>
      <w:r w:rsidRPr="001D1CA1">
        <w:rPr>
          <w:szCs w:val="20"/>
          <w:lang w:val="en-GB"/>
        </w:rPr>
        <w:fldChar w:fldCharType="separate"/>
      </w:r>
      <w:r w:rsidR="000E69E4">
        <w:rPr>
          <w:szCs w:val="20"/>
          <w:lang w:val="en-GB"/>
        </w:rPr>
        <w:t>119</w:t>
      </w:r>
      <w:r w:rsidRPr="001D1CA1">
        <w:rPr>
          <w:szCs w:val="20"/>
          <w:lang w:val="en-GB"/>
        </w:rPr>
        <w:fldChar w:fldCharType="end"/>
      </w:r>
      <w:r w:rsidRPr="001D1CA1">
        <w:rPr>
          <w:szCs w:val="20"/>
          <w:lang w:val="en-GB"/>
        </w:rPr>
        <w:t>.</w:t>
      </w:r>
    </w:p>
  </w:footnote>
  <w:footnote w:id="122">
    <w:p w14:paraId="2F0EC7AD" w14:textId="77777777"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See, </w:t>
      </w:r>
      <w:r w:rsidRPr="001D1CA1">
        <w:rPr>
          <w:i/>
          <w:szCs w:val="20"/>
        </w:rPr>
        <w:t>e,g.</w:t>
      </w:r>
      <w:r w:rsidRPr="001D1CA1">
        <w:rPr>
          <w:szCs w:val="20"/>
        </w:rPr>
        <w:t>, Hatcher,</w:t>
      </w:r>
      <w:r w:rsidRPr="001D1CA1">
        <w:rPr>
          <w:i/>
          <w:szCs w:val="20"/>
        </w:rPr>
        <w:t xml:space="preserve"> supra</w:t>
      </w:r>
      <w:r w:rsidRPr="001D1CA1">
        <w:rPr>
          <w:szCs w:val="20"/>
        </w:rPr>
        <w:t xml:space="preserve"> note </w:t>
      </w:r>
      <w:r w:rsidRPr="001D1CA1">
        <w:rPr>
          <w:szCs w:val="20"/>
        </w:rPr>
        <w:fldChar w:fldCharType="begin"/>
      </w:r>
      <w:r w:rsidRPr="001D1CA1">
        <w:rPr>
          <w:szCs w:val="20"/>
        </w:rPr>
        <w:instrText xml:space="preserve"> NOTEREF _Ref194558826 \h </w:instrText>
      </w:r>
      <w:r w:rsidRPr="001D1CA1">
        <w:rPr>
          <w:szCs w:val="20"/>
        </w:rPr>
      </w:r>
      <w:r w:rsidRPr="001D1CA1">
        <w:rPr>
          <w:szCs w:val="20"/>
        </w:rPr>
        <w:fldChar w:fldCharType="separate"/>
      </w:r>
      <w:r w:rsidR="000E69E4">
        <w:rPr>
          <w:szCs w:val="20"/>
        </w:rPr>
        <w:t>84</w:t>
      </w:r>
      <w:r w:rsidRPr="001D1CA1">
        <w:rPr>
          <w:szCs w:val="20"/>
        </w:rPr>
        <w:fldChar w:fldCharType="end"/>
      </w:r>
      <w:r w:rsidRPr="001D1CA1">
        <w:rPr>
          <w:szCs w:val="20"/>
        </w:rPr>
        <w:t xml:space="preserve"> at ii. See also Cotula &amp; James Mayers, </w:t>
      </w:r>
      <w:r w:rsidRPr="001D1CA1">
        <w:rPr>
          <w:i/>
          <w:szCs w:val="20"/>
        </w:rPr>
        <w:t>supra</w:t>
      </w:r>
      <w:r w:rsidRPr="001D1CA1">
        <w:rPr>
          <w:szCs w:val="20"/>
        </w:rPr>
        <w:t xml:space="preserve"> note </w:t>
      </w:r>
      <w:r w:rsidRPr="001D1CA1">
        <w:rPr>
          <w:szCs w:val="20"/>
        </w:rPr>
        <w:fldChar w:fldCharType="begin"/>
      </w:r>
      <w:r w:rsidRPr="001D1CA1">
        <w:rPr>
          <w:szCs w:val="20"/>
        </w:rPr>
        <w:instrText xml:space="preserve"> NOTEREF _Ref194558826 \h </w:instrText>
      </w:r>
      <w:r w:rsidRPr="001D1CA1">
        <w:rPr>
          <w:szCs w:val="20"/>
        </w:rPr>
      </w:r>
      <w:r w:rsidRPr="001D1CA1">
        <w:rPr>
          <w:szCs w:val="20"/>
        </w:rPr>
        <w:fldChar w:fldCharType="separate"/>
      </w:r>
      <w:r w:rsidR="000E69E4">
        <w:rPr>
          <w:szCs w:val="20"/>
        </w:rPr>
        <w:t>84</w:t>
      </w:r>
      <w:r w:rsidRPr="001D1CA1">
        <w:rPr>
          <w:szCs w:val="20"/>
        </w:rPr>
        <w:fldChar w:fldCharType="end"/>
      </w:r>
      <w:r w:rsidRPr="001D1CA1">
        <w:rPr>
          <w:szCs w:val="20"/>
        </w:rPr>
        <w:t>.</w:t>
      </w:r>
    </w:p>
  </w:footnote>
  <w:footnote w:id="123">
    <w:p w14:paraId="650F0EC3" w14:textId="77777777"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See, </w:t>
      </w:r>
      <w:r w:rsidRPr="001D1CA1">
        <w:rPr>
          <w:i/>
          <w:szCs w:val="20"/>
        </w:rPr>
        <w:t>e,g.</w:t>
      </w:r>
      <w:r w:rsidRPr="001D1CA1">
        <w:rPr>
          <w:szCs w:val="20"/>
        </w:rPr>
        <w:t>, John Costenbader, “Redd+ Benefit Sharing: A Comparative Assessment of Three National Policy Approaches” (UN-REDD, 2011); Essam Yassin Mohammed, “Pro-poor benefit distribution in REDD + Who gets what and why does it matter?” (IIED, 2011).</w:t>
      </w:r>
    </w:p>
  </w:footnote>
  <w:footnote w:id="124">
    <w:p w14:paraId="0DB643A8" w14:textId="77777777"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See, </w:t>
      </w:r>
      <w:r w:rsidRPr="001D1CA1">
        <w:rPr>
          <w:i/>
          <w:szCs w:val="20"/>
        </w:rPr>
        <w:t>e.g.</w:t>
      </w:r>
      <w:r w:rsidRPr="001D1CA1">
        <w:rPr>
          <w:szCs w:val="20"/>
        </w:rPr>
        <w:t xml:space="preserve">, RECOFTC, IIED &amp; REDD-Net, “REDD+, Governance, and Community Forestry” (REDD-NET, 2011); Finn Danielsen </w:t>
      </w:r>
      <w:r w:rsidRPr="001D1CA1">
        <w:rPr>
          <w:i/>
          <w:szCs w:val="20"/>
        </w:rPr>
        <w:t>et al.</w:t>
      </w:r>
      <w:r w:rsidRPr="001D1CA1">
        <w:rPr>
          <w:szCs w:val="20"/>
        </w:rPr>
        <w:t>, “At the heart of REDD+: a role for local people in monitoring forests?” (2011) 4:2 Conservation Letters 158.</w:t>
      </w:r>
    </w:p>
  </w:footnote>
  <w:footnote w:id="125">
    <w:p w14:paraId="244E3E54" w14:textId="17F6C9F3"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Bernstein &amp; Cashore, </w:t>
      </w:r>
      <w:r w:rsidRPr="001D1CA1">
        <w:rPr>
          <w:i/>
          <w:szCs w:val="20"/>
        </w:rPr>
        <w:t>supra</w:t>
      </w:r>
      <w:r w:rsidRPr="001D1CA1">
        <w:rPr>
          <w:szCs w:val="20"/>
        </w:rPr>
        <w:t xml:space="preserve"> note </w:t>
      </w:r>
      <w:r>
        <w:rPr>
          <w:szCs w:val="20"/>
        </w:rPr>
        <w:fldChar w:fldCharType="begin"/>
      </w:r>
      <w:r>
        <w:rPr>
          <w:szCs w:val="20"/>
        </w:rPr>
        <w:instrText xml:space="preserve"> NOTEREF _Ref219177069 \h </w:instrText>
      </w:r>
      <w:r>
        <w:rPr>
          <w:szCs w:val="20"/>
        </w:rPr>
      </w:r>
      <w:r>
        <w:rPr>
          <w:szCs w:val="20"/>
        </w:rPr>
        <w:fldChar w:fldCharType="separate"/>
      </w:r>
      <w:r w:rsidR="000E69E4">
        <w:rPr>
          <w:szCs w:val="20"/>
        </w:rPr>
        <w:t>101</w:t>
      </w:r>
      <w:r>
        <w:rPr>
          <w:szCs w:val="20"/>
        </w:rPr>
        <w:fldChar w:fldCharType="end"/>
      </w:r>
      <w:r>
        <w:rPr>
          <w:szCs w:val="20"/>
        </w:rPr>
        <w:t xml:space="preserve"> </w:t>
      </w:r>
      <w:r w:rsidRPr="001D1CA1">
        <w:rPr>
          <w:szCs w:val="20"/>
        </w:rPr>
        <w:t>at 13-14.</w:t>
      </w:r>
    </w:p>
  </w:footnote>
  <w:footnote w:id="126">
    <w:p w14:paraId="68B9DC21" w14:textId="77777777"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William D. Sunderlin, “The Global Forest Tenure Transition: Background, Substance, and Prospects,” in Sikor &amp; Stahl, </w:t>
      </w:r>
      <w:r w:rsidRPr="001D1CA1">
        <w:rPr>
          <w:i/>
          <w:szCs w:val="20"/>
        </w:rPr>
        <w:t>supra</w:t>
      </w:r>
      <w:r w:rsidRPr="001D1CA1">
        <w:rPr>
          <w:szCs w:val="20"/>
        </w:rPr>
        <w:t xml:space="preserve"> note at at 23-24.</w:t>
      </w:r>
    </w:p>
  </w:footnote>
  <w:footnote w:id="127">
    <w:p w14:paraId="3D3EBFFF" w14:textId="77777777"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Margaret E. Keck &amp; Kathryn Sikkink, </w:t>
      </w:r>
      <w:r w:rsidRPr="001D1CA1">
        <w:rPr>
          <w:i/>
          <w:szCs w:val="20"/>
        </w:rPr>
        <w:t xml:space="preserve">Activists Beyond Borders. Advocacy Networks in International Politics </w:t>
      </w:r>
      <w:r w:rsidRPr="001D1CA1">
        <w:rPr>
          <w:szCs w:val="20"/>
        </w:rPr>
        <w:t>(Ithaca, NY: Cornell University Press, 1998).</w:t>
      </w:r>
    </w:p>
  </w:footnote>
  <w:footnote w:id="128">
    <w:p w14:paraId="2B586398" w14:textId="77777777"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Chris Jochnick &amp; Paulina Garzon, “Rights-Based Approaches to Development. An Overview of the Field,” paper prepared for CARE and Oxfam-America, 2002.</w:t>
      </w:r>
    </w:p>
  </w:footnote>
  <w:footnote w:id="129">
    <w:p w14:paraId="78F17C68" w14:textId="457D6AF0"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w:t>
      </w:r>
      <w:r w:rsidRPr="00F56EF0">
        <w:rPr>
          <w:szCs w:val="20"/>
        </w:rPr>
        <w:t xml:space="preserve">Jessica Campese, Terry Sunderland, Thomas Greiber &amp; Gonzalo Oviedo, eds., </w:t>
      </w:r>
      <w:r w:rsidRPr="00F56EF0">
        <w:rPr>
          <w:i/>
          <w:szCs w:val="20"/>
        </w:rPr>
        <w:t xml:space="preserve">Rights-based approaches: Exploring issues and opportunities for conservation </w:t>
      </w:r>
      <w:r w:rsidRPr="00F56EF0">
        <w:rPr>
          <w:szCs w:val="20"/>
        </w:rPr>
        <w:t>(Bogor, Indone</w:t>
      </w:r>
      <w:r>
        <w:rPr>
          <w:szCs w:val="20"/>
        </w:rPr>
        <w:t>sia: CIFOR and IUCN, 2009).</w:t>
      </w:r>
    </w:p>
  </w:footnote>
  <w:footnote w:id="130">
    <w:p w14:paraId="633E98D7" w14:textId="1603DAD8"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w:t>
      </w:r>
      <w:r w:rsidRPr="00F56EF0">
        <w:rPr>
          <w:szCs w:val="20"/>
        </w:rPr>
        <w:t xml:space="preserve">Thomas Sikor &amp; Johannes Stahl, “A Way Forward: Forest Rights in Times of REDD+” in Sikor &amp; Stahl, </w:t>
      </w:r>
      <w:r w:rsidRPr="00F56EF0">
        <w:rPr>
          <w:i/>
          <w:szCs w:val="20"/>
        </w:rPr>
        <w:t>supra</w:t>
      </w:r>
      <w:r w:rsidRPr="00F56EF0">
        <w:rPr>
          <w:szCs w:val="20"/>
        </w:rPr>
        <w:t xml:space="preserve"> note</w:t>
      </w:r>
      <w:r>
        <w:rPr>
          <w:szCs w:val="20"/>
        </w:rPr>
        <w:t xml:space="preserve"> </w:t>
      </w:r>
      <w:r>
        <w:rPr>
          <w:szCs w:val="20"/>
        </w:rPr>
        <w:fldChar w:fldCharType="begin"/>
      </w:r>
      <w:r>
        <w:rPr>
          <w:szCs w:val="20"/>
        </w:rPr>
        <w:instrText xml:space="preserve"> NOTEREF _Ref217630896 \h </w:instrText>
      </w:r>
      <w:r>
        <w:rPr>
          <w:szCs w:val="20"/>
        </w:rPr>
      </w:r>
      <w:r>
        <w:rPr>
          <w:szCs w:val="20"/>
        </w:rPr>
        <w:fldChar w:fldCharType="separate"/>
      </w:r>
      <w:r w:rsidR="000E69E4">
        <w:rPr>
          <w:szCs w:val="20"/>
        </w:rPr>
        <w:t>96</w:t>
      </w:r>
      <w:r>
        <w:rPr>
          <w:szCs w:val="20"/>
        </w:rPr>
        <w:fldChar w:fldCharType="end"/>
      </w:r>
      <w:r>
        <w:rPr>
          <w:szCs w:val="20"/>
        </w:rPr>
        <w:t xml:space="preserve">, 237-246 at </w:t>
      </w:r>
      <w:r w:rsidRPr="001D1CA1">
        <w:rPr>
          <w:szCs w:val="20"/>
        </w:rPr>
        <w:t>237.</w:t>
      </w:r>
    </w:p>
  </w:footnote>
  <w:footnote w:id="131">
    <w:p w14:paraId="5E90CB80" w14:textId="77777777" w:rsidR="002E53A9" w:rsidRPr="001D1CA1" w:rsidRDefault="002E53A9" w:rsidP="001D1CA1">
      <w:pPr>
        <w:pStyle w:val="FootnoteText"/>
        <w:rPr>
          <w:szCs w:val="20"/>
          <w:lang w:val="en-US"/>
        </w:rPr>
      </w:pPr>
      <w:r w:rsidRPr="001D1CA1">
        <w:rPr>
          <w:rStyle w:val="FootnoteReference"/>
          <w:sz w:val="20"/>
          <w:szCs w:val="20"/>
        </w:rPr>
        <w:footnoteRef/>
      </w:r>
      <w:r w:rsidRPr="001D1CA1">
        <w:rPr>
          <w:szCs w:val="20"/>
        </w:rPr>
        <w:t xml:space="preserve"> </w:t>
      </w:r>
      <w:r w:rsidRPr="001D1CA1">
        <w:rPr>
          <w:szCs w:val="20"/>
          <w:lang w:val="en-US"/>
        </w:rPr>
        <w:t>Alec Stone, “</w:t>
      </w:r>
      <w:r w:rsidRPr="001D1CA1">
        <w:rPr>
          <w:bCs/>
          <w:szCs w:val="20"/>
          <w:lang w:val="en-US"/>
        </w:rPr>
        <w:t>What Is a Supranational Constitution? An Essay in International Relations Theory” (1994) 56(3)</w:t>
      </w:r>
    </w:p>
    <w:p w14:paraId="52052012" w14:textId="7B59E5E5" w:rsidR="002E53A9" w:rsidRPr="001D1CA1" w:rsidRDefault="002E53A9" w:rsidP="001D1CA1">
      <w:pPr>
        <w:pStyle w:val="FootnoteText"/>
        <w:rPr>
          <w:szCs w:val="20"/>
          <w:lang w:val="en-US"/>
        </w:rPr>
      </w:pPr>
      <w:r w:rsidRPr="001D1CA1">
        <w:rPr>
          <w:iCs/>
          <w:szCs w:val="20"/>
          <w:lang w:val="en-US"/>
        </w:rPr>
        <w:t xml:space="preserve">The Review of Politics </w:t>
      </w:r>
      <w:r w:rsidRPr="001D1CA1">
        <w:rPr>
          <w:szCs w:val="20"/>
          <w:lang w:val="en-US"/>
        </w:rPr>
        <w:t xml:space="preserve">441-474. See also Kenneth W. Abbott </w:t>
      </w:r>
      <w:r w:rsidRPr="001D1CA1">
        <w:rPr>
          <w:i/>
          <w:szCs w:val="20"/>
          <w:lang w:val="en-US"/>
        </w:rPr>
        <w:t>et al.</w:t>
      </w:r>
      <w:r w:rsidRPr="001D1CA1">
        <w:rPr>
          <w:szCs w:val="20"/>
          <w:lang w:val="en-US"/>
        </w:rPr>
        <w:t>, “The Concept of Legalization” (2000) 54:3 International Organization 401-419.</w:t>
      </w:r>
    </w:p>
  </w:footnote>
  <w:footnote w:id="132">
    <w:p w14:paraId="361BC5A3" w14:textId="246E68EC" w:rsidR="002E53A9" w:rsidRPr="001D1CA1" w:rsidRDefault="002E53A9" w:rsidP="001D1CA1">
      <w:pPr>
        <w:pStyle w:val="FootnoteText"/>
        <w:rPr>
          <w:szCs w:val="20"/>
          <w:lang w:val="fr-FR"/>
        </w:rPr>
      </w:pPr>
      <w:r w:rsidRPr="001D1CA1">
        <w:rPr>
          <w:rStyle w:val="FootnoteReference"/>
          <w:sz w:val="20"/>
          <w:szCs w:val="20"/>
        </w:rPr>
        <w:footnoteRef/>
      </w:r>
      <w:r w:rsidRPr="001D1CA1">
        <w:rPr>
          <w:szCs w:val="20"/>
        </w:rPr>
        <w:t xml:space="preserve"> For example, the European Union, with its high level of institutionalization and the access it provides to non-governmental and market actors differs considerably from the UN Security Council, which operates in an informal and closed manner. </w:t>
      </w:r>
    </w:p>
  </w:footnote>
  <w:footnote w:id="133">
    <w:p w14:paraId="44D8D190" w14:textId="7E5EB4A5"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Wayne Sandholtz &amp; Alec Stone Sweet, “Law, Politics, and International Governance” in Christian Reus-Smit, ed, </w:t>
      </w:r>
      <w:r w:rsidRPr="001D1CA1">
        <w:rPr>
          <w:i/>
          <w:szCs w:val="20"/>
        </w:rPr>
        <w:t>The Politics of International Law</w:t>
      </w:r>
      <w:r w:rsidRPr="001D1CA1">
        <w:rPr>
          <w:szCs w:val="20"/>
        </w:rPr>
        <w:t xml:space="preserve"> (Cambridge, UK: Cambridge University Press, 2004) 238-271.</w:t>
      </w:r>
    </w:p>
  </w:footnote>
  <w:footnote w:id="134">
    <w:p w14:paraId="0C61026C" w14:textId="5FDBD096" w:rsidR="002E53A9" w:rsidRPr="001D1CA1" w:rsidRDefault="002E53A9" w:rsidP="001D1CA1">
      <w:pPr>
        <w:pStyle w:val="FootnoteText"/>
        <w:rPr>
          <w:szCs w:val="20"/>
          <w:lang w:val="fr-FR"/>
        </w:rPr>
      </w:pPr>
      <w:r w:rsidRPr="001D1CA1">
        <w:rPr>
          <w:rStyle w:val="FootnoteReference"/>
          <w:sz w:val="20"/>
          <w:szCs w:val="20"/>
        </w:rPr>
        <w:footnoteRef/>
      </w:r>
      <w:r w:rsidRPr="001D1CA1">
        <w:rPr>
          <w:szCs w:val="20"/>
        </w:rPr>
        <w:t xml:space="preserve"> </w:t>
      </w:r>
      <w:r w:rsidRPr="001D1CA1">
        <w:rPr>
          <w:szCs w:val="20"/>
          <w:lang w:val="en-US"/>
        </w:rPr>
        <w:t xml:space="preserve">Thomas Franck, </w:t>
      </w:r>
      <w:r w:rsidRPr="001D1CA1">
        <w:rPr>
          <w:i/>
          <w:iCs/>
          <w:szCs w:val="20"/>
          <w:lang w:val="en-US"/>
        </w:rPr>
        <w:t xml:space="preserve">The power of legitimacy among nations </w:t>
      </w:r>
      <w:r w:rsidRPr="001D1CA1">
        <w:rPr>
          <w:szCs w:val="20"/>
          <w:lang w:val="en-US"/>
        </w:rPr>
        <w:t>(New York: Oxford University Press, 1990);</w:t>
      </w:r>
      <w:r w:rsidRPr="001D1CA1">
        <w:rPr>
          <w:szCs w:val="20"/>
        </w:rPr>
        <w:t xml:space="preserve"> Jutta Brunée &amp; Stephen Toope, </w:t>
      </w:r>
      <w:r w:rsidRPr="001D1CA1">
        <w:rPr>
          <w:i/>
          <w:szCs w:val="20"/>
        </w:rPr>
        <w:t>Legitimacy and Legality in International Law. An Interactional Account</w:t>
      </w:r>
      <w:r w:rsidRPr="001D1CA1">
        <w:rPr>
          <w:szCs w:val="20"/>
        </w:rPr>
        <w:t xml:space="preserve"> (Cambridge, UK: Cambridge University Press, 2010); </w:t>
      </w:r>
      <w:r w:rsidRPr="001D1CA1">
        <w:rPr>
          <w:rFonts w:cs="Times New Roman"/>
          <w:szCs w:val="20"/>
        </w:rPr>
        <w:t xml:space="preserve">Goodman &amp; Jinks, </w:t>
      </w:r>
      <w:r w:rsidRPr="001D1CA1">
        <w:rPr>
          <w:rFonts w:cs="Times New Roman"/>
          <w:i/>
          <w:szCs w:val="20"/>
        </w:rPr>
        <w:t>supra</w:t>
      </w:r>
      <w:r w:rsidRPr="001D1CA1">
        <w:rPr>
          <w:rFonts w:cs="Times New Roman"/>
          <w:szCs w:val="20"/>
        </w:rPr>
        <w:t xml:space="preserve"> note </w:t>
      </w:r>
      <w:r w:rsidRPr="001D1CA1">
        <w:rPr>
          <w:rFonts w:cs="Times New Roman"/>
          <w:szCs w:val="20"/>
        </w:rPr>
        <w:fldChar w:fldCharType="begin"/>
      </w:r>
      <w:r w:rsidRPr="001D1CA1">
        <w:rPr>
          <w:rFonts w:cs="Times New Roman"/>
          <w:szCs w:val="20"/>
        </w:rPr>
        <w:instrText xml:space="preserve"> NOTEREF _Ref198614909 \h </w:instrText>
      </w:r>
      <w:r w:rsidRPr="001D1CA1">
        <w:rPr>
          <w:rFonts w:cs="Times New Roman"/>
          <w:szCs w:val="20"/>
        </w:rPr>
      </w:r>
      <w:r w:rsidRPr="001D1CA1">
        <w:rPr>
          <w:rFonts w:cs="Times New Roman"/>
          <w:szCs w:val="20"/>
        </w:rPr>
        <w:fldChar w:fldCharType="separate"/>
      </w:r>
      <w:r w:rsidR="000E69E4">
        <w:rPr>
          <w:rFonts w:cs="Times New Roman"/>
          <w:szCs w:val="20"/>
        </w:rPr>
        <w:t>117</w:t>
      </w:r>
      <w:r w:rsidRPr="001D1CA1">
        <w:rPr>
          <w:rFonts w:cs="Times New Roman"/>
          <w:szCs w:val="20"/>
        </w:rPr>
        <w:fldChar w:fldCharType="end"/>
      </w:r>
      <w:r w:rsidRPr="001D1CA1">
        <w:rPr>
          <w:rFonts w:cs="Times New Roman"/>
          <w:szCs w:val="20"/>
        </w:rPr>
        <w:t>;</w:t>
      </w:r>
    </w:p>
  </w:footnote>
  <w:footnote w:id="135">
    <w:p w14:paraId="5171DD0D" w14:textId="57C817FF" w:rsidR="002E53A9" w:rsidRPr="001D1CA1" w:rsidRDefault="002E53A9" w:rsidP="001D1CA1">
      <w:pPr>
        <w:pStyle w:val="FootnoteText"/>
        <w:rPr>
          <w:szCs w:val="20"/>
          <w:lang w:val="fr-FR"/>
        </w:rPr>
      </w:pPr>
      <w:r w:rsidRPr="001D1CA1">
        <w:rPr>
          <w:rStyle w:val="FootnoteReference"/>
          <w:sz w:val="20"/>
          <w:szCs w:val="20"/>
        </w:rPr>
        <w:footnoteRef/>
      </w:r>
      <w:r w:rsidRPr="001D1CA1">
        <w:rPr>
          <w:szCs w:val="20"/>
        </w:rPr>
        <w:t xml:space="preserve"> </w:t>
      </w:r>
      <w:r w:rsidRPr="001D1CA1">
        <w:rPr>
          <w:rFonts w:cs="Times New Roman"/>
          <w:szCs w:val="20"/>
        </w:rPr>
        <w:t>Harold Hongju Koh, “Why Do Nations Obey International Law?” (1996) 106 Yale Law Journal 2599-2659.</w:t>
      </w:r>
    </w:p>
  </w:footnote>
  <w:footnote w:id="136">
    <w:p w14:paraId="3C415FAC" w14:textId="713CE212"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Andrew T. Guzman, “A Compliance-Based Theory of International Law” (2002) 90 California Law Review 1823-1888; Kenneth W. Abbott &amp; Duncan Snidal, “Hard and Soft Law in International Governance” (2009) 54:3 International Organization 421-456.</w:t>
      </w:r>
    </w:p>
  </w:footnote>
  <w:footnote w:id="137">
    <w:p w14:paraId="44931E3B" w14:textId="5E44D054" w:rsidR="002E53A9" w:rsidRPr="001D1CA1" w:rsidRDefault="002E53A9" w:rsidP="001D1CA1">
      <w:pPr>
        <w:pStyle w:val="FootnoteText"/>
        <w:rPr>
          <w:i/>
          <w:szCs w:val="20"/>
        </w:rPr>
      </w:pPr>
      <w:r w:rsidRPr="001D1CA1">
        <w:rPr>
          <w:rStyle w:val="FootnoteReference"/>
          <w:sz w:val="20"/>
          <w:szCs w:val="20"/>
        </w:rPr>
        <w:footnoteRef/>
      </w:r>
      <w:r w:rsidRPr="001D1CA1">
        <w:rPr>
          <w:szCs w:val="20"/>
        </w:rPr>
        <w:t xml:space="preserve"> Beth A. Simmons, “Compliance with International Agreements” (1998) 1:1 Annual Review of Political Science 75-93 at 81.</w:t>
      </w:r>
    </w:p>
  </w:footnote>
  <w:footnote w:id="138">
    <w:p w14:paraId="24050AFF" w14:textId="77777777"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Cancun REDD+ Guidance &amp; Safeguards; Durban LCA Decision. </w:t>
      </w:r>
    </w:p>
  </w:footnote>
  <w:footnote w:id="139">
    <w:p w14:paraId="70839A1F" w14:textId="77777777"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Jutta Brunnée, “COPing with Consent: Law-Making Under Multilateral Environmental Agreements” (2002) 15:1 Leiden Journal of International Law 1 at 51.</w:t>
      </w:r>
    </w:p>
  </w:footnote>
  <w:footnote w:id="140">
    <w:p w14:paraId="03BC8E07" w14:textId="77777777"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UN-REDD Programme, “Update on Social and Environmental Principles,” UN-REDD Programme 5</w:t>
      </w:r>
      <w:r w:rsidRPr="001D1CA1">
        <w:rPr>
          <w:szCs w:val="20"/>
          <w:vertAlign w:val="superscript"/>
        </w:rPr>
        <w:t>th</w:t>
      </w:r>
      <w:r w:rsidRPr="001D1CA1">
        <w:rPr>
          <w:szCs w:val="20"/>
        </w:rPr>
        <w:t xml:space="preserve"> Policy Board Meeting, November 2010, UNREDD/PBS/2010/12.</w:t>
      </w:r>
    </w:p>
  </w:footnote>
  <w:footnote w:id="141">
    <w:p w14:paraId="73A15245" w14:textId="77777777"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Nicholas Moss &amp; Ruth Nussbaum, “A Review of Three REDD+ Safeguard Initiatives” FCPF &amp; UN-REDD, June 2011, at 6-9.</w:t>
      </w:r>
    </w:p>
  </w:footnote>
  <w:footnote w:id="142">
    <w:p w14:paraId="0EDE15F5" w14:textId="77777777"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Laurence Boisson de Chazournes, “Policy Guidance and Compliance: The World Bank Operational Standards” in Dinah Shelton, ed., </w:t>
      </w:r>
      <w:r w:rsidRPr="001D1CA1">
        <w:rPr>
          <w:i/>
          <w:szCs w:val="20"/>
        </w:rPr>
        <w:t>Commitment and Compliance. The Role of Non-Binding Norms in the International Legal System</w:t>
      </w:r>
      <w:r w:rsidRPr="001D1CA1">
        <w:rPr>
          <w:szCs w:val="20"/>
        </w:rPr>
        <w:t xml:space="preserve"> (Oxford, UK: Oxford University Press, 2000) 281 at 282.</w:t>
      </w:r>
    </w:p>
  </w:footnote>
  <w:footnote w:id="143">
    <w:p w14:paraId="78FD1943" w14:textId="77777777"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w:t>
      </w:r>
      <w:r w:rsidRPr="001D1CA1">
        <w:rPr>
          <w:i/>
          <w:szCs w:val="20"/>
        </w:rPr>
        <w:t>Ibid.</w:t>
      </w:r>
      <w:r w:rsidRPr="001D1CA1">
        <w:rPr>
          <w:szCs w:val="20"/>
        </w:rPr>
        <w:t xml:space="preserve"> at 295.</w:t>
      </w:r>
    </w:p>
  </w:footnote>
  <w:footnote w:id="144">
    <w:p w14:paraId="20BF2790" w14:textId="77777777"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See Robert Marschinski &amp; Steffen Behrle, “</w:t>
      </w:r>
      <w:r w:rsidRPr="001D1CA1">
        <w:rPr>
          <w:bCs/>
          <w:szCs w:val="20"/>
        </w:rPr>
        <w:t>The World Bank</w:t>
      </w:r>
      <w:r w:rsidRPr="001D1CA1">
        <w:rPr>
          <w:szCs w:val="20"/>
        </w:rPr>
        <w:t xml:space="preserve">. Making the Business Case for the Environment” in Frank Biermann &amp; Bernd Siebenhüner, eds., </w:t>
      </w:r>
      <w:r w:rsidRPr="001D1CA1">
        <w:rPr>
          <w:i/>
          <w:szCs w:val="20"/>
        </w:rPr>
        <w:t>Managers of Global Change. The Influence of International Environmental Bureaucracies</w:t>
      </w:r>
      <w:r w:rsidRPr="001D1CA1">
        <w:rPr>
          <w:szCs w:val="20"/>
        </w:rPr>
        <w:t xml:space="preserve"> (Cambridge, MA: MIT Press, 2009) 101.</w:t>
      </w:r>
    </w:p>
  </w:footnote>
  <w:footnote w:id="145">
    <w:p w14:paraId="33D86FA6" w14:textId="77777777" w:rsidR="002E53A9" w:rsidRPr="001D1CA1" w:rsidRDefault="002E53A9" w:rsidP="001D1CA1">
      <w:pPr>
        <w:pStyle w:val="FootnoteText"/>
        <w:rPr>
          <w:szCs w:val="20"/>
          <w:lang w:val="fr-FR"/>
        </w:rPr>
      </w:pPr>
      <w:r w:rsidRPr="001D1CA1">
        <w:rPr>
          <w:rStyle w:val="FootnoteReference"/>
          <w:sz w:val="20"/>
          <w:szCs w:val="20"/>
        </w:rPr>
        <w:footnoteRef/>
      </w:r>
      <w:r w:rsidRPr="001D1CA1">
        <w:rPr>
          <w:szCs w:val="20"/>
        </w:rPr>
        <w:t xml:space="preserve"> Steven Bernstein &amp; Benjamin Cashore, “Globalization, Four Paths of Internationalization and Domestic Policy Change: The Case of EcoForestry in British Columbia , Canada” (2000) XXXIII:1 Canadian Journal of Political Science 67 at 88-91.</w:t>
      </w:r>
    </w:p>
  </w:footnote>
  <w:footnote w:id="146">
    <w:p w14:paraId="36AFD64E" w14:textId="20EB1758" w:rsidR="002E53A9" w:rsidRPr="001D1CA1" w:rsidRDefault="002E53A9" w:rsidP="001D1CA1">
      <w:pPr>
        <w:pStyle w:val="FootnoteText"/>
        <w:rPr>
          <w:szCs w:val="20"/>
          <w:lang w:val="en-GB"/>
        </w:rPr>
      </w:pPr>
      <w:r w:rsidRPr="001D1CA1">
        <w:rPr>
          <w:rStyle w:val="FootnoteReference"/>
          <w:sz w:val="20"/>
          <w:szCs w:val="20"/>
          <w:lang w:val="en-GB"/>
        </w:rPr>
        <w:footnoteRef/>
      </w:r>
      <w:r w:rsidRPr="001D1CA1">
        <w:rPr>
          <w:szCs w:val="20"/>
          <w:lang w:val="en-GB"/>
        </w:rPr>
        <w:t xml:space="preserve"> David Vogel, “Trading Up and Governing Across: Transnational Governance and Environmental Protection” (1997) 4:4 Journal of European Public Policy 556-571; Brian Greenhill, Layna Mosley &amp; Aseem Prakash, “Trade-based Diffusion of Labor Rights: A Panel Study, 1986-2002” (2009) 103(4) American Political Science Review 669-690; </w:t>
      </w:r>
      <w:r w:rsidRPr="001D1CA1">
        <w:rPr>
          <w:szCs w:val="20"/>
          <w:lang w:val="en-US"/>
        </w:rPr>
        <w:t>Per-Olof Busch, Helge Jörgens &amp; Kerstin Tews, “</w:t>
      </w:r>
      <w:r w:rsidRPr="001D1CA1">
        <w:rPr>
          <w:bCs/>
          <w:szCs w:val="20"/>
          <w:lang w:val="en-US"/>
        </w:rPr>
        <w:t xml:space="preserve">The Global Diffusion of Regulatory Instruments: The Making of a New International Environmental Regime” (2005) 598 </w:t>
      </w:r>
      <w:r w:rsidRPr="001D1CA1">
        <w:rPr>
          <w:bCs/>
          <w:iCs/>
          <w:szCs w:val="20"/>
          <w:lang w:val="en-US"/>
        </w:rPr>
        <w:t xml:space="preserve">The ANNALS of the American Academy of Political and Social Science 146-167 at </w:t>
      </w:r>
      <w:r w:rsidRPr="001D1CA1">
        <w:rPr>
          <w:szCs w:val="20"/>
          <w:lang w:val="en-GB"/>
        </w:rPr>
        <w:t>152-153.</w:t>
      </w:r>
    </w:p>
  </w:footnote>
  <w:footnote w:id="147">
    <w:p w14:paraId="45F14BD4" w14:textId="01133327" w:rsidR="002E53A9" w:rsidRPr="001D1CA1" w:rsidRDefault="002E53A9" w:rsidP="001D1CA1">
      <w:pPr>
        <w:pStyle w:val="FootnoteText"/>
        <w:rPr>
          <w:szCs w:val="20"/>
          <w:lang w:val="en-GB"/>
        </w:rPr>
      </w:pPr>
      <w:r w:rsidRPr="001D1CA1">
        <w:rPr>
          <w:rStyle w:val="FootnoteReference"/>
          <w:sz w:val="20"/>
          <w:szCs w:val="20"/>
          <w:lang w:val="en-GB"/>
        </w:rPr>
        <w:footnoteRef/>
      </w:r>
      <w:r w:rsidRPr="001D1CA1">
        <w:rPr>
          <w:szCs w:val="20"/>
          <w:lang w:val="en-GB"/>
        </w:rPr>
        <w:t xml:space="preserve"> Emilie Hafner-Burton, “Trading Human Rights: How Preferential Trade Agreements Influence Government Repression” (2005) 59 International Organization 593-629; Frank </w:t>
      </w:r>
      <w:r w:rsidRPr="001D1CA1">
        <w:rPr>
          <w:bCs/>
          <w:szCs w:val="20"/>
          <w:lang w:val="en-GB"/>
        </w:rPr>
        <w:t>Schimmelfennig</w:t>
      </w:r>
      <w:r w:rsidRPr="001D1CA1">
        <w:rPr>
          <w:szCs w:val="20"/>
          <w:lang w:val="en-GB"/>
        </w:rPr>
        <w:t xml:space="preserve"> &amp; Ulrich </w:t>
      </w:r>
      <w:r w:rsidRPr="001D1CA1">
        <w:rPr>
          <w:bCs/>
          <w:szCs w:val="20"/>
          <w:lang w:val="en-GB"/>
        </w:rPr>
        <w:t>Sedelmeier</w:t>
      </w:r>
      <w:r w:rsidRPr="001D1CA1">
        <w:rPr>
          <w:szCs w:val="20"/>
          <w:lang w:val="en-GB"/>
        </w:rPr>
        <w:t>, “</w:t>
      </w:r>
      <w:r w:rsidRPr="001D1CA1">
        <w:rPr>
          <w:bCs/>
          <w:szCs w:val="20"/>
          <w:lang w:val="en-GB"/>
        </w:rPr>
        <w:t>Governance by conditionality</w:t>
      </w:r>
      <w:r w:rsidRPr="001D1CA1">
        <w:rPr>
          <w:szCs w:val="20"/>
          <w:lang w:val="en-GB"/>
        </w:rPr>
        <w:t>: EU rule transfer to the candidate countries of Central and Eastern Europe” (2004) 11:4 Journal of European Public Policy 661-679.</w:t>
      </w:r>
    </w:p>
  </w:footnote>
  <w:footnote w:id="148">
    <w:p w14:paraId="38C02EE5" w14:textId="77777777" w:rsidR="002E53A9" w:rsidRPr="001D1CA1" w:rsidRDefault="002E53A9" w:rsidP="001D1CA1">
      <w:pPr>
        <w:pStyle w:val="FootnoteText"/>
        <w:rPr>
          <w:szCs w:val="20"/>
          <w:lang w:val="en-GB"/>
        </w:rPr>
      </w:pPr>
      <w:r w:rsidRPr="001D1CA1">
        <w:rPr>
          <w:rStyle w:val="FootnoteReference"/>
          <w:sz w:val="20"/>
          <w:szCs w:val="20"/>
          <w:lang w:val="en-GB"/>
        </w:rPr>
        <w:footnoteRef/>
      </w:r>
      <w:r w:rsidRPr="001D1CA1">
        <w:rPr>
          <w:szCs w:val="20"/>
          <w:lang w:val="en-GB"/>
        </w:rPr>
        <w:t xml:space="preserve"> Benjamin Cashore, Graeme Auld &amp; Deanna Newsom, </w:t>
      </w:r>
      <w:r w:rsidRPr="001D1CA1">
        <w:rPr>
          <w:bCs/>
          <w:i/>
          <w:szCs w:val="20"/>
          <w:lang w:val="en-GB"/>
        </w:rPr>
        <w:t>Governing Through Markets</w:t>
      </w:r>
      <w:r w:rsidRPr="001D1CA1">
        <w:rPr>
          <w:i/>
          <w:szCs w:val="20"/>
          <w:lang w:val="en-GB"/>
        </w:rPr>
        <w:t xml:space="preserve">: Forest Certification and the Emergence of Non-state Authority </w:t>
      </w:r>
      <w:r w:rsidRPr="001D1CA1">
        <w:rPr>
          <w:szCs w:val="20"/>
          <w:lang w:val="en-GB"/>
        </w:rPr>
        <w:t>(New Haven, Ct.: Yale University Press, 2004).</w:t>
      </w:r>
    </w:p>
  </w:footnote>
  <w:footnote w:id="149">
    <w:p w14:paraId="02207973" w14:textId="677EBF16" w:rsidR="002E53A9" w:rsidRPr="001D1CA1" w:rsidRDefault="002E53A9" w:rsidP="001D1CA1">
      <w:pPr>
        <w:pStyle w:val="FootnoteText"/>
        <w:rPr>
          <w:szCs w:val="20"/>
          <w:lang w:val="en-GB"/>
        </w:rPr>
      </w:pPr>
      <w:r w:rsidRPr="001D1CA1">
        <w:rPr>
          <w:rStyle w:val="FootnoteReference"/>
          <w:sz w:val="20"/>
          <w:szCs w:val="20"/>
          <w:lang w:val="en-GB"/>
        </w:rPr>
        <w:footnoteRef/>
      </w:r>
      <w:r w:rsidRPr="001D1CA1">
        <w:rPr>
          <w:szCs w:val="20"/>
          <w:lang w:val="en-GB"/>
        </w:rPr>
        <w:t xml:space="preserve"> See Bernstein &amp; Cashore, </w:t>
      </w:r>
      <w:r w:rsidRPr="001D1CA1">
        <w:rPr>
          <w:i/>
          <w:szCs w:val="20"/>
          <w:lang w:val="en-GB"/>
        </w:rPr>
        <w:t xml:space="preserve">supra </w:t>
      </w:r>
      <w:r w:rsidRPr="001D1CA1">
        <w:rPr>
          <w:szCs w:val="20"/>
          <w:lang w:val="en-GB"/>
        </w:rPr>
        <w:t xml:space="preserve">note </w:t>
      </w:r>
      <w:r w:rsidRPr="001D1CA1">
        <w:rPr>
          <w:szCs w:val="20"/>
          <w:lang w:val="en-GB"/>
        </w:rPr>
        <w:fldChar w:fldCharType="begin"/>
      </w:r>
      <w:r w:rsidRPr="001D1CA1">
        <w:rPr>
          <w:szCs w:val="20"/>
          <w:lang w:val="en-GB"/>
        </w:rPr>
        <w:instrText xml:space="preserve"> NOTEREF _Ref219177069 \h </w:instrText>
      </w:r>
      <w:r w:rsidRPr="001D1CA1">
        <w:rPr>
          <w:szCs w:val="20"/>
          <w:lang w:val="en-GB"/>
        </w:rPr>
      </w:r>
      <w:r w:rsidRPr="001D1CA1">
        <w:rPr>
          <w:szCs w:val="20"/>
          <w:lang w:val="en-GB"/>
        </w:rPr>
        <w:fldChar w:fldCharType="separate"/>
      </w:r>
      <w:r w:rsidR="000E69E4">
        <w:rPr>
          <w:szCs w:val="20"/>
          <w:lang w:val="en-GB"/>
        </w:rPr>
        <w:t>101</w:t>
      </w:r>
      <w:r w:rsidRPr="001D1CA1">
        <w:rPr>
          <w:szCs w:val="20"/>
          <w:lang w:val="en-GB"/>
        </w:rPr>
        <w:fldChar w:fldCharType="end"/>
      </w:r>
      <w:r w:rsidRPr="001D1CA1">
        <w:rPr>
          <w:szCs w:val="20"/>
          <w:lang w:val="en-GB"/>
        </w:rPr>
        <w:t xml:space="preserve"> at 9.</w:t>
      </w:r>
    </w:p>
  </w:footnote>
  <w:footnote w:id="150">
    <w:p w14:paraId="43982029" w14:textId="77777777"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For a review of how these standards apply to REDD+ projects, see Eduard Merger, Michael Dutschke &amp; Louis Verchot, “Options for REDD+ Voluntary Certification to Ensure Net GHG Benefits, Poverty Alleviation, Sustainable Management of Forests and Biodiversity Conservation” (2011) 2 Forests 550.</w:t>
      </w:r>
    </w:p>
  </w:footnote>
  <w:footnote w:id="151">
    <w:p w14:paraId="3E169BF6" w14:textId="77777777"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See, </w:t>
      </w:r>
      <w:r w:rsidRPr="001D1CA1">
        <w:rPr>
          <w:i/>
          <w:szCs w:val="20"/>
        </w:rPr>
        <w:t>e.g.</w:t>
      </w:r>
      <w:r w:rsidRPr="001D1CA1">
        <w:rPr>
          <w:szCs w:val="20"/>
        </w:rPr>
        <w:t xml:space="preserve">, CCBA, “CCB Projects,” available at: http://www.climate-standards.org/projects/index.html. </w:t>
      </w:r>
    </w:p>
  </w:footnote>
  <w:footnote w:id="152">
    <w:p w14:paraId="046A08C2" w14:textId="77777777"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CCBA, “Climate, Community and Biodiversity Project Design Standards,” 2</w:t>
      </w:r>
      <w:r w:rsidRPr="001D1CA1">
        <w:rPr>
          <w:szCs w:val="20"/>
          <w:vertAlign w:val="superscript"/>
        </w:rPr>
        <w:t>nd</w:t>
      </w:r>
      <w:r w:rsidRPr="001D1CA1">
        <w:rPr>
          <w:szCs w:val="20"/>
        </w:rPr>
        <w:t xml:space="preserve"> Edition, available at http://www.climate-standards.org/standards/index.html, Indicator G5.</w:t>
      </w:r>
    </w:p>
  </w:footnote>
  <w:footnote w:id="153">
    <w:p w14:paraId="72DEAC87" w14:textId="77777777"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Forest Stewardship Council, “FSC Principles and Criteria for Forest Stewardship,” available at : http://www.fsc.org/fileadmin/web-data/public/document_center/international_FSC_policies/standards/FSC_STD_01_001_V4_0_EN_FSC_Principles_and_Criteria.pdf, principles 2-5.</w:t>
      </w:r>
    </w:p>
  </w:footnote>
  <w:footnote w:id="154">
    <w:p w14:paraId="1D1DD1C3" w14:textId="1AF24D1D" w:rsidR="002E53A9" w:rsidRPr="001D1CA1" w:rsidRDefault="002E53A9" w:rsidP="001D1CA1">
      <w:pPr>
        <w:pStyle w:val="FootnoteText"/>
        <w:rPr>
          <w:szCs w:val="20"/>
          <w:lang w:val="en-GB"/>
        </w:rPr>
      </w:pPr>
      <w:r w:rsidRPr="001D1CA1">
        <w:rPr>
          <w:rStyle w:val="FootnoteReference"/>
          <w:sz w:val="20"/>
          <w:szCs w:val="20"/>
          <w:lang w:val="en-GB"/>
        </w:rPr>
        <w:footnoteRef/>
      </w:r>
      <w:r w:rsidRPr="001D1CA1">
        <w:rPr>
          <w:szCs w:val="20"/>
          <w:lang w:val="en-GB"/>
        </w:rPr>
        <w:t xml:space="preserve"> Orenstein, </w:t>
      </w:r>
      <w:r w:rsidRPr="001D1CA1">
        <w:rPr>
          <w:i/>
          <w:szCs w:val="20"/>
          <w:lang w:val="en-GB"/>
        </w:rPr>
        <w:t>supra</w:t>
      </w:r>
      <w:r w:rsidRPr="001D1CA1">
        <w:rPr>
          <w:szCs w:val="20"/>
          <w:lang w:val="en-GB"/>
        </w:rPr>
        <w:t xml:space="preserve"> note </w:t>
      </w:r>
      <w:r w:rsidRPr="001D1CA1">
        <w:rPr>
          <w:szCs w:val="20"/>
          <w:lang w:val="en-GB"/>
        </w:rPr>
        <w:fldChar w:fldCharType="begin"/>
      </w:r>
      <w:r w:rsidRPr="001D1CA1">
        <w:rPr>
          <w:szCs w:val="20"/>
          <w:lang w:val="en-GB"/>
        </w:rPr>
        <w:instrText xml:space="preserve"> NOTEREF _Ref223423181 \h </w:instrText>
      </w:r>
      <w:r w:rsidRPr="001D1CA1">
        <w:rPr>
          <w:szCs w:val="20"/>
          <w:lang w:val="en-GB"/>
        </w:rPr>
      </w:r>
      <w:r w:rsidRPr="001D1CA1">
        <w:rPr>
          <w:szCs w:val="20"/>
          <w:lang w:val="en-GB"/>
        </w:rPr>
        <w:fldChar w:fldCharType="separate"/>
      </w:r>
      <w:r w:rsidR="000E69E4">
        <w:rPr>
          <w:szCs w:val="20"/>
          <w:lang w:val="en-GB"/>
        </w:rPr>
        <w:t>13</w:t>
      </w:r>
      <w:r w:rsidRPr="001D1CA1">
        <w:rPr>
          <w:szCs w:val="20"/>
          <w:lang w:val="en-GB"/>
        </w:rPr>
        <w:fldChar w:fldCharType="end"/>
      </w:r>
      <w:r w:rsidRPr="001D1CA1">
        <w:rPr>
          <w:szCs w:val="20"/>
          <w:lang w:val="en-GB"/>
        </w:rPr>
        <w:t xml:space="preserve"> at 89-90; Thomas J. Biersteker, “Reducing the role of the State in the economy: a conceptual exploration of IMF and World Bank prescriptions” (1990) 34:4 International Studies Quarterly 477-492.</w:t>
      </w:r>
    </w:p>
  </w:footnote>
  <w:footnote w:id="155">
    <w:p w14:paraId="514B6D16" w14:textId="2BC16434" w:rsidR="002E53A9" w:rsidRPr="001D1CA1" w:rsidRDefault="002E53A9" w:rsidP="001D1CA1">
      <w:pPr>
        <w:pStyle w:val="FootnoteText"/>
        <w:rPr>
          <w:szCs w:val="20"/>
          <w:lang w:val="en-GB"/>
        </w:rPr>
      </w:pPr>
      <w:r w:rsidRPr="001D1CA1">
        <w:rPr>
          <w:rStyle w:val="FootnoteReference"/>
          <w:sz w:val="20"/>
          <w:szCs w:val="20"/>
          <w:lang w:val="en-GB"/>
        </w:rPr>
        <w:footnoteRef/>
      </w:r>
      <w:r w:rsidRPr="001D1CA1">
        <w:rPr>
          <w:szCs w:val="20"/>
          <w:lang w:val="en-GB"/>
        </w:rPr>
        <w:t xml:space="preserve"> Dobbin, Simmons &amp; Garrett, </w:t>
      </w:r>
      <w:r w:rsidRPr="001D1CA1">
        <w:rPr>
          <w:i/>
          <w:szCs w:val="20"/>
          <w:lang w:val="en-GB"/>
        </w:rPr>
        <w:t>supra</w:t>
      </w:r>
      <w:r w:rsidRPr="001D1CA1">
        <w:rPr>
          <w:szCs w:val="20"/>
          <w:lang w:val="en-GB"/>
        </w:rPr>
        <w:t xml:space="preserve"> note </w:t>
      </w:r>
      <w:r w:rsidRPr="001D1CA1">
        <w:rPr>
          <w:szCs w:val="20"/>
          <w:lang w:val="en-GB"/>
        </w:rPr>
        <w:fldChar w:fldCharType="begin"/>
      </w:r>
      <w:r w:rsidRPr="001D1CA1">
        <w:rPr>
          <w:szCs w:val="20"/>
          <w:lang w:val="en-GB"/>
        </w:rPr>
        <w:instrText xml:space="preserve"> NOTEREF _Ref223594245 \h </w:instrText>
      </w:r>
      <w:r w:rsidRPr="001D1CA1">
        <w:rPr>
          <w:szCs w:val="20"/>
          <w:lang w:val="en-GB"/>
        </w:rPr>
      </w:r>
      <w:r w:rsidRPr="001D1CA1">
        <w:rPr>
          <w:szCs w:val="20"/>
          <w:lang w:val="en-GB"/>
        </w:rPr>
        <w:fldChar w:fldCharType="separate"/>
      </w:r>
      <w:r w:rsidR="000E69E4">
        <w:rPr>
          <w:szCs w:val="20"/>
          <w:lang w:val="en-GB"/>
        </w:rPr>
        <w:t>105</w:t>
      </w:r>
      <w:r w:rsidRPr="001D1CA1">
        <w:rPr>
          <w:szCs w:val="20"/>
          <w:lang w:val="en-GB"/>
        </w:rPr>
        <w:fldChar w:fldCharType="end"/>
      </w:r>
      <w:r w:rsidRPr="001D1CA1">
        <w:rPr>
          <w:szCs w:val="20"/>
          <w:lang w:val="en-GB"/>
        </w:rPr>
        <w:t xml:space="preserve"> at 455.</w:t>
      </w:r>
    </w:p>
  </w:footnote>
  <w:footnote w:id="156">
    <w:p w14:paraId="55A4D8AE" w14:textId="77777777" w:rsidR="002E53A9" w:rsidRPr="001D1CA1" w:rsidRDefault="002E53A9" w:rsidP="001D1CA1">
      <w:pPr>
        <w:pStyle w:val="FootnoteText"/>
        <w:rPr>
          <w:szCs w:val="20"/>
          <w:lang w:val="en-GB"/>
        </w:rPr>
      </w:pPr>
      <w:r w:rsidRPr="001D1CA1">
        <w:rPr>
          <w:rStyle w:val="FootnoteReference"/>
          <w:sz w:val="20"/>
          <w:szCs w:val="20"/>
          <w:lang w:val="en-GB"/>
        </w:rPr>
        <w:footnoteRef/>
      </w:r>
      <w:r w:rsidRPr="001D1CA1">
        <w:rPr>
          <w:szCs w:val="20"/>
          <w:lang w:val="en-GB"/>
        </w:rPr>
        <w:t xml:space="preserve"> Fred Nelson, “Conservation and Aid: Designing More Effective Investments in Natural Resource Governance Reform” (2009) 23:5 Conservation Biology 1102-1108.</w:t>
      </w:r>
    </w:p>
  </w:footnote>
  <w:footnote w:id="157">
    <w:p w14:paraId="3019766F" w14:textId="77777777" w:rsidR="002E53A9" w:rsidRPr="001D1CA1" w:rsidRDefault="002E53A9" w:rsidP="001D1CA1">
      <w:pPr>
        <w:pStyle w:val="FootnoteText"/>
        <w:rPr>
          <w:szCs w:val="20"/>
          <w:lang w:val="en-GB"/>
        </w:rPr>
      </w:pPr>
      <w:r w:rsidRPr="001D1CA1">
        <w:rPr>
          <w:rStyle w:val="FootnoteReference"/>
          <w:sz w:val="20"/>
          <w:szCs w:val="20"/>
          <w:lang w:val="en-GB"/>
        </w:rPr>
        <w:footnoteRef/>
      </w:r>
      <w:r w:rsidRPr="001D1CA1">
        <w:rPr>
          <w:szCs w:val="20"/>
          <w:lang w:val="en-GB"/>
        </w:rPr>
        <w:t xml:space="preserve"> James H. Lebovic &amp; Erik Voeten, “The Cost of Shame: International Organizations and Foreign Aid in the Punishing of Human Rights Violators” (2009) 46 Journal of Peace Research 79-97.</w:t>
      </w:r>
    </w:p>
  </w:footnote>
  <w:footnote w:id="158">
    <w:p w14:paraId="7C19F025" w14:textId="77777777" w:rsidR="002E53A9" w:rsidRPr="001D1CA1" w:rsidRDefault="002E53A9" w:rsidP="001D1CA1">
      <w:pPr>
        <w:pStyle w:val="FootnoteText"/>
        <w:rPr>
          <w:b/>
          <w:szCs w:val="20"/>
          <w:lang w:val="en-GB"/>
        </w:rPr>
      </w:pPr>
      <w:r w:rsidRPr="001D1CA1">
        <w:rPr>
          <w:rStyle w:val="FootnoteReference"/>
          <w:sz w:val="20"/>
          <w:szCs w:val="20"/>
          <w:lang w:val="en-GB"/>
        </w:rPr>
        <w:footnoteRef/>
      </w:r>
      <w:r w:rsidRPr="001D1CA1">
        <w:rPr>
          <w:szCs w:val="20"/>
          <w:lang w:val="en-GB"/>
        </w:rPr>
        <w:t xml:space="preserve"> Dobbin, Simmons &amp; Garrett, </w:t>
      </w:r>
      <w:r w:rsidRPr="001D1CA1">
        <w:rPr>
          <w:i/>
          <w:szCs w:val="20"/>
          <w:lang w:val="en-GB"/>
        </w:rPr>
        <w:t>supra</w:t>
      </w:r>
      <w:r w:rsidRPr="001D1CA1">
        <w:rPr>
          <w:szCs w:val="20"/>
          <w:lang w:val="en-GB"/>
        </w:rPr>
        <w:t xml:space="preserve"> note </w:t>
      </w:r>
      <w:r w:rsidRPr="001D1CA1">
        <w:rPr>
          <w:szCs w:val="20"/>
          <w:lang w:val="en-GB"/>
        </w:rPr>
        <w:fldChar w:fldCharType="begin"/>
      </w:r>
      <w:r w:rsidRPr="001D1CA1">
        <w:rPr>
          <w:szCs w:val="20"/>
          <w:lang w:val="en-GB"/>
        </w:rPr>
        <w:instrText xml:space="preserve"> NOTEREF _Ref223594245 \h </w:instrText>
      </w:r>
      <w:r w:rsidRPr="001D1CA1">
        <w:rPr>
          <w:szCs w:val="20"/>
          <w:lang w:val="en-GB"/>
        </w:rPr>
      </w:r>
      <w:r w:rsidRPr="001D1CA1">
        <w:rPr>
          <w:szCs w:val="20"/>
          <w:lang w:val="en-GB"/>
        </w:rPr>
        <w:fldChar w:fldCharType="separate"/>
      </w:r>
      <w:r w:rsidR="000E69E4">
        <w:rPr>
          <w:szCs w:val="20"/>
          <w:lang w:val="en-GB"/>
        </w:rPr>
        <w:t>105</w:t>
      </w:r>
      <w:r w:rsidRPr="001D1CA1">
        <w:rPr>
          <w:szCs w:val="20"/>
          <w:lang w:val="en-GB"/>
        </w:rPr>
        <w:fldChar w:fldCharType="end"/>
      </w:r>
      <w:r w:rsidRPr="001D1CA1">
        <w:rPr>
          <w:szCs w:val="20"/>
          <w:lang w:val="en-GB"/>
        </w:rPr>
        <w:t xml:space="preserve"> at 454-460; Bernstein &amp; Cashore, </w:t>
      </w:r>
      <w:r w:rsidRPr="001D1CA1">
        <w:rPr>
          <w:i/>
          <w:szCs w:val="20"/>
          <w:lang w:val="en-GB"/>
        </w:rPr>
        <w:t>supra</w:t>
      </w:r>
      <w:r w:rsidRPr="001D1CA1">
        <w:rPr>
          <w:szCs w:val="20"/>
          <w:lang w:val="en-GB"/>
        </w:rPr>
        <w:t xml:space="preserve"> note </w:t>
      </w:r>
      <w:r w:rsidRPr="001D1CA1">
        <w:rPr>
          <w:szCs w:val="20"/>
          <w:lang w:val="en-GB"/>
        </w:rPr>
        <w:fldChar w:fldCharType="begin"/>
      </w:r>
      <w:r w:rsidRPr="001D1CA1">
        <w:rPr>
          <w:szCs w:val="20"/>
          <w:lang w:val="en-GB"/>
        </w:rPr>
        <w:instrText xml:space="preserve"> NOTEREF _Ref219177069 \h </w:instrText>
      </w:r>
      <w:r w:rsidRPr="001D1CA1">
        <w:rPr>
          <w:szCs w:val="20"/>
          <w:lang w:val="en-GB"/>
        </w:rPr>
      </w:r>
      <w:r w:rsidRPr="001D1CA1">
        <w:rPr>
          <w:szCs w:val="20"/>
          <w:lang w:val="en-GB"/>
        </w:rPr>
        <w:fldChar w:fldCharType="separate"/>
      </w:r>
      <w:r w:rsidR="000E69E4">
        <w:rPr>
          <w:szCs w:val="20"/>
          <w:lang w:val="en-GB"/>
        </w:rPr>
        <w:t>101</w:t>
      </w:r>
      <w:r w:rsidRPr="001D1CA1">
        <w:rPr>
          <w:szCs w:val="20"/>
          <w:lang w:val="en-GB"/>
        </w:rPr>
        <w:fldChar w:fldCharType="end"/>
      </w:r>
      <w:r w:rsidRPr="001D1CA1">
        <w:rPr>
          <w:szCs w:val="20"/>
          <w:lang w:val="en-GB"/>
        </w:rPr>
        <w:t xml:space="preserve"> at 9-10.</w:t>
      </w:r>
    </w:p>
  </w:footnote>
  <w:footnote w:id="159">
    <w:p w14:paraId="5860AB77" w14:textId="77777777" w:rsidR="002E53A9" w:rsidRPr="001D1CA1" w:rsidRDefault="002E53A9" w:rsidP="001D1CA1">
      <w:pPr>
        <w:pStyle w:val="FootnoteText"/>
        <w:rPr>
          <w:szCs w:val="20"/>
          <w:lang w:val="fr-FR"/>
        </w:rPr>
      </w:pPr>
      <w:r w:rsidRPr="001D1CA1">
        <w:rPr>
          <w:rStyle w:val="FootnoteReference"/>
          <w:sz w:val="20"/>
          <w:szCs w:val="20"/>
        </w:rPr>
        <w:footnoteRef/>
      </w:r>
      <w:r w:rsidRPr="001D1CA1">
        <w:rPr>
          <w:szCs w:val="20"/>
        </w:rPr>
        <w:t xml:space="preserve"> </w:t>
      </w:r>
      <w:r w:rsidRPr="001D1CA1">
        <w:rPr>
          <w:szCs w:val="20"/>
          <w:lang w:val="en-GB"/>
        </w:rPr>
        <w:t xml:space="preserve">Orenstein, </w:t>
      </w:r>
      <w:r w:rsidRPr="001D1CA1">
        <w:rPr>
          <w:i/>
          <w:szCs w:val="20"/>
          <w:lang w:val="en-GB"/>
        </w:rPr>
        <w:t>supra</w:t>
      </w:r>
      <w:r w:rsidRPr="001D1CA1">
        <w:rPr>
          <w:szCs w:val="20"/>
          <w:lang w:val="en-GB"/>
        </w:rPr>
        <w:t xml:space="preserve"> note </w:t>
      </w:r>
      <w:r w:rsidRPr="001D1CA1">
        <w:rPr>
          <w:szCs w:val="20"/>
          <w:lang w:val="en-GB"/>
        </w:rPr>
        <w:fldChar w:fldCharType="begin"/>
      </w:r>
      <w:r w:rsidRPr="001D1CA1">
        <w:rPr>
          <w:szCs w:val="20"/>
          <w:lang w:val="en-GB"/>
        </w:rPr>
        <w:instrText xml:space="preserve"> NOTEREF _Ref223423181 \h </w:instrText>
      </w:r>
      <w:r w:rsidRPr="001D1CA1">
        <w:rPr>
          <w:szCs w:val="20"/>
          <w:lang w:val="en-GB"/>
        </w:rPr>
      </w:r>
      <w:r w:rsidRPr="001D1CA1">
        <w:rPr>
          <w:szCs w:val="20"/>
          <w:lang w:val="en-GB"/>
        </w:rPr>
        <w:fldChar w:fldCharType="separate"/>
      </w:r>
      <w:r w:rsidR="000E69E4">
        <w:rPr>
          <w:szCs w:val="20"/>
          <w:lang w:val="en-GB"/>
        </w:rPr>
        <w:t>13</w:t>
      </w:r>
      <w:r w:rsidRPr="001D1CA1">
        <w:rPr>
          <w:szCs w:val="20"/>
          <w:lang w:val="en-GB"/>
        </w:rPr>
        <w:fldChar w:fldCharType="end"/>
      </w:r>
      <w:r w:rsidRPr="001D1CA1">
        <w:rPr>
          <w:szCs w:val="20"/>
          <w:lang w:val="en-GB"/>
        </w:rPr>
        <w:t xml:space="preserve"> at 89; Steinberg, </w:t>
      </w:r>
      <w:r w:rsidRPr="001D1CA1">
        <w:rPr>
          <w:i/>
          <w:szCs w:val="20"/>
          <w:lang w:val="en-GB"/>
        </w:rPr>
        <w:t>supra</w:t>
      </w:r>
      <w:r w:rsidRPr="001D1CA1">
        <w:rPr>
          <w:szCs w:val="20"/>
          <w:lang w:val="en-GB"/>
        </w:rPr>
        <w:t xml:space="preserve"> note </w:t>
      </w:r>
      <w:r w:rsidRPr="001D1CA1">
        <w:rPr>
          <w:szCs w:val="20"/>
          <w:highlight w:val="yellow"/>
          <w:lang w:val="en-GB"/>
        </w:rPr>
        <w:fldChar w:fldCharType="begin"/>
      </w:r>
      <w:r w:rsidRPr="001D1CA1">
        <w:rPr>
          <w:szCs w:val="20"/>
          <w:lang w:val="en-GB"/>
        </w:rPr>
        <w:instrText xml:space="preserve"> NOTEREF _Ref223423637 \h </w:instrText>
      </w:r>
      <w:r w:rsidRPr="001D1CA1">
        <w:rPr>
          <w:szCs w:val="20"/>
          <w:highlight w:val="yellow"/>
          <w:lang w:val="en-GB"/>
        </w:rPr>
      </w:r>
      <w:r w:rsidRPr="001D1CA1">
        <w:rPr>
          <w:szCs w:val="20"/>
          <w:highlight w:val="yellow"/>
          <w:lang w:val="en-GB"/>
        </w:rPr>
        <w:fldChar w:fldCharType="separate"/>
      </w:r>
      <w:r w:rsidR="000E69E4">
        <w:rPr>
          <w:szCs w:val="20"/>
          <w:lang w:val="en-GB"/>
        </w:rPr>
        <w:t>103</w:t>
      </w:r>
      <w:r w:rsidRPr="001D1CA1">
        <w:rPr>
          <w:szCs w:val="20"/>
          <w:highlight w:val="yellow"/>
          <w:lang w:val="en-GB"/>
        </w:rPr>
        <w:fldChar w:fldCharType="end"/>
      </w:r>
      <w:r w:rsidRPr="001D1CA1">
        <w:rPr>
          <w:szCs w:val="20"/>
          <w:lang w:val="en-GB"/>
        </w:rPr>
        <w:t xml:space="preserve"> at 12-13. </w:t>
      </w:r>
    </w:p>
  </w:footnote>
  <w:footnote w:id="160">
    <w:p w14:paraId="7466A7F6" w14:textId="77777777"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See generally Lauren Williams &amp; Crystal Davis, “Getting Ready with Forest Governance: A Review of the Forest Carbon Partnership Facility Readiness Preparation Proposals and the UN-REDD National Progamme Documents” World Resources Institute Working Paper, October 2011.</w:t>
      </w:r>
    </w:p>
  </w:footnote>
  <w:footnote w:id="161">
    <w:p w14:paraId="214688DF" w14:textId="77777777"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Memorandum of Understanding between the Government of the Cooperative Republic of Guyana and the Government of the Kingdom of Norway regarding Cooperation on Issues related to the Fight against Climate Change, the Protection of Biodiversity and the Enhancement of Sustainable Development, November 2009, available at: </w:t>
      </w:r>
    </w:p>
    <w:p w14:paraId="29FD9A45" w14:textId="77777777" w:rsidR="002E53A9" w:rsidRPr="001D1CA1" w:rsidRDefault="002E53A9" w:rsidP="001D1CA1">
      <w:pPr>
        <w:pStyle w:val="FootnoteText"/>
        <w:rPr>
          <w:szCs w:val="20"/>
        </w:rPr>
      </w:pPr>
      <w:r w:rsidRPr="001D1CA1">
        <w:rPr>
          <w:szCs w:val="20"/>
        </w:rPr>
        <w:t>http://www.regjeringen.no/upload/MD/Vedlegg/Klima/klima_skogprosjektet/The%20Memorandum%20of%20Understanding%20Guyana%20Norway%20on%20REDD%20(081109)%20signed%20091109.pdf</w:t>
      </w:r>
      <w:r w:rsidRPr="001D1CA1">
        <w:rPr>
          <w:i/>
          <w:szCs w:val="20"/>
        </w:rPr>
        <w:t xml:space="preserve">, </w:t>
      </w:r>
      <w:r w:rsidRPr="001D1CA1">
        <w:rPr>
          <w:szCs w:val="20"/>
        </w:rPr>
        <w:t>preamble.</w:t>
      </w:r>
    </w:p>
  </w:footnote>
  <w:footnote w:id="162">
    <w:p w14:paraId="011418F2" w14:textId="77777777"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w:t>
      </w:r>
      <w:r w:rsidRPr="001D1CA1">
        <w:rPr>
          <w:i/>
          <w:szCs w:val="20"/>
        </w:rPr>
        <w:t>Ibid.</w:t>
      </w:r>
      <w:r w:rsidRPr="001D1CA1">
        <w:rPr>
          <w:szCs w:val="20"/>
        </w:rPr>
        <w:t xml:space="preserve"> at para. 2(c).</w:t>
      </w:r>
    </w:p>
  </w:footnote>
  <w:footnote w:id="163">
    <w:p w14:paraId="7B0DA126" w14:textId="77777777"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Joint Concept Note between Guyana and Norway, http://www.regjeringen.no/upload/MD/2011/vedlegg/klima/klima_skogprosjektet/Guyana/JointConceptNote_31mars2011.pdf. </w:t>
      </w:r>
    </w:p>
  </w:footnote>
  <w:footnote w:id="164">
    <w:p w14:paraId="54EC3992" w14:textId="77777777" w:rsidR="002E53A9" w:rsidRPr="001D1CA1" w:rsidRDefault="002E53A9" w:rsidP="001D1CA1">
      <w:pPr>
        <w:pStyle w:val="FootnoteText"/>
        <w:rPr>
          <w:szCs w:val="20"/>
        </w:rPr>
      </w:pPr>
      <w:r w:rsidRPr="001D1CA1">
        <w:rPr>
          <w:rStyle w:val="FootnoteReference"/>
          <w:sz w:val="20"/>
          <w:szCs w:val="20"/>
        </w:rPr>
        <w:footnoteRef/>
      </w:r>
      <w:r w:rsidRPr="001D1CA1">
        <w:rPr>
          <w:szCs w:val="20"/>
        </w:rPr>
        <w:t xml:space="preserve"> See, </w:t>
      </w:r>
      <w:r w:rsidRPr="001D1CA1">
        <w:rPr>
          <w:i/>
          <w:szCs w:val="20"/>
        </w:rPr>
        <w:t>e.g.</w:t>
      </w:r>
      <w:r w:rsidRPr="001D1CA1">
        <w:rPr>
          <w:szCs w:val="20"/>
        </w:rPr>
        <w:t>, NORAD, Contributions to National REDD+ Processes 2007-2010, Country Report: Guyana Evaluation Report 15/2010, available at: , at 40-42.</w:t>
      </w:r>
    </w:p>
  </w:footnote>
  <w:footnote w:id="165">
    <w:p w14:paraId="7727F7E2" w14:textId="77777777" w:rsidR="002E53A9" w:rsidRPr="001D1CA1" w:rsidRDefault="002E53A9" w:rsidP="001D1CA1">
      <w:pPr>
        <w:pStyle w:val="FootnoteText"/>
        <w:rPr>
          <w:szCs w:val="20"/>
          <w:lang w:val="en-GB"/>
        </w:rPr>
      </w:pPr>
      <w:r w:rsidRPr="001D1CA1">
        <w:rPr>
          <w:rStyle w:val="FootnoteReference"/>
          <w:sz w:val="20"/>
          <w:szCs w:val="20"/>
          <w:lang w:val="en-GB"/>
        </w:rPr>
        <w:footnoteRef/>
      </w:r>
      <w:r w:rsidRPr="001D1CA1">
        <w:rPr>
          <w:szCs w:val="20"/>
          <w:lang w:val="en-GB"/>
        </w:rPr>
        <w:t xml:space="preserve"> Orenstein, </w:t>
      </w:r>
      <w:r w:rsidRPr="001D1CA1">
        <w:rPr>
          <w:i/>
          <w:szCs w:val="20"/>
          <w:lang w:val="en-GB"/>
        </w:rPr>
        <w:t>supra</w:t>
      </w:r>
      <w:r w:rsidRPr="001D1CA1">
        <w:rPr>
          <w:szCs w:val="20"/>
          <w:lang w:val="en-GB"/>
        </w:rPr>
        <w:t xml:space="preserve"> note </w:t>
      </w:r>
      <w:r w:rsidRPr="001D1CA1">
        <w:rPr>
          <w:szCs w:val="20"/>
          <w:lang w:val="en-GB"/>
        </w:rPr>
        <w:fldChar w:fldCharType="begin"/>
      </w:r>
      <w:r w:rsidRPr="001D1CA1">
        <w:rPr>
          <w:szCs w:val="20"/>
          <w:lang w:val="en-GB"/>
        </w:rPr>
        <w:instrText xml:space="preserve"> NOTEREF _Ref223423181 \h </w:instrText>
      </w:r>
      <w:r w:rsidRPr="001D1CA1">
        <w:rPr>
          <w:szCs w:val="20"/>
          <w:lang w:val="en-GB"/>
        </w:rPr>
      </w:r>
      <w:r w:rsidRPr="001D1CA1">
        <w:rPr>
          <w:szCs w:val="20"/>
          <w:lang w:val="en-GB"/>
        </w:rPr>
        <w:fldChar w:fldCharType="separate"/>
      </w:r>
      <w:r w:rsidR="000E69E4">
        <w:rPr>
          <w:szCs w:val="20"/>
          <w:lang w:val="en-GB"/>
        </w:rPr>
        <w:t>13</w:t>
      </w:r>
      <w:r w:rsidRPr="001D1CA1">
        <w:rPr>
          <w:szCs w:val="20"/>
          <w:lang w:val="en-GB"/>
        </w:rPr>
        <w:fldChar w:fldCharType="end"/>
      </w:r>
      <w:r w:rsidRPr="001D1CA1">
        <w:rPr>
          <w:szCs w:val="20"/>
          <w:lang w:val="en-GB"/>
        </w:rPr>
        <w:t xml:space="preserve"> at 58-60.</w:t>
      </w:r>
    </w:p>
  </w:footnote>
  <w:footnote w:id="166">
    <w:p w14:paraId="535D8DB0" w14:textId="77777777" w:rsidR="002E53A9" w:rsidRPr="001D1CA1" w:rsidRDefault="002E53A9" w:rsidP="001D1CA1">
      <w:pPr>
        <w:pStyle w:val="FootnoteText"/>
        <w:rPr>
          <w:szCs w:val="20"/>
          <w:lang w:val="en-GB"/>
        </w:rPr>
      </w:pPr>
      <w:r w:rsidRPr="001D1CA1">
        <w:rPr>
          <w:rStyle w:val="FootnoteReference"/>
          <w:sz w:val="20"/>
          <w:szCs w:val="20"/>
          <w:lang w:val="en-GB"/>
        </w:rPr>
        <w:footnoteRef/>
      </w:r>
      <w:r w:rsidRPr="001D1CA1">
        <w:rPr>
          <w:szCs w:val="20"/>
          <w:lang w:val="en-GB"/>
        </w:rPr>
        <w:t xml:space="preserve"> Howlett &amp; Ramesh, </w:t>
      </w:r>
      <w:r w:rsidRPr="001D1CA1">
        <w:rPr>
          <w:i/>
          <w:szCs w:val="20"/>
          <w:lang w:val="en-GB"/>
        </w:rPr>
        <w:t>supra</w:t>
      </w:r>
      <w:r w:rsidRPr="001D1CA1">
        <w:rPr>
          <w:szCs w:val="20"/>
          <w:lang w:val="en-GB"/>
        </w:rPr>
        <w:t xml:space="preserve"> note </w:t>
      </w:r>
      <w:r w:rsidRPr="001D1CA1">
        <w:rPr>
          <w:szCs w:val="20"/>
          <w:lang w:val="en-GB"/>
        </w:rPr>
        <w:fldChar w:fldCharType="begin"/>
      </w:r>
      <w:r w:rsidRPr="001D1CA1">
        <w:rPr>
          <w:szCs w:val="20"/>
          <w:lang w:val="en-GB"/>
        </w:rPr>
        <w:instrText xml:space="preserve"> NOTEREF _Ref219177069 \h </w:instrText>
      </w:r>
      <w:r w:rsidRPr="001D1CA1">
        <w:rPr>
          <w:szCs w:val="20"/>
          <w:lang w:val="en-GB"/>
        </w:rPr>
      </w:r>
      <w:r w:rsidRPr="001D1CA1">
        <w:rPr>
          <w:szCs w:val="20"/>
          <w:lang w:val="en-GB"/>
        </w:rPr>
        <w:fldChar w:fldCharType="separate"/>
      </w:r>
      <w:r w:rsidR="000E69E4">
        <w:rPr>
          <w:szCs w:val="20"/>
          <w:lang w:val="en-GB"/>
        </w:rPr>
        <w:t>101</w:t>
      </w:r>
      <w:r w:rsidRPr="001D1CA1">
        <w:rPr>
          <w:szCs w:val="20"/>
          <w:lang w:val="en-GB"/>
        </w:rPr>
        <w:fldChar w:fldCharType="end"/>
      </w:r>
      <w:r w:rsidRPr="001D1CA1">
        <w:rPr>
          <w:szCs w:val="20"/>
          <w:lang w:val="en-GB"/>
        </w:rPr>
        <w:t>.</w:t>
      </w:r>
    </w:p>
  </w:footnote>
  <w:footnote w:id="167">
    <w:p w14:paraId="47118B0E" w14:textId="77777777" w:rsidR="002E53A9" w:rsidRPr="001D1CA1" w:rsidRDefault="002E53A9" w:rsidP="001D1CA1">
      <w:pPr>
        <w:pStyle w:val="FootnoteText"/>
        <w:rPr>
          <w:szCs w:val="20"/>
          <w:lang w:val="en-GB"/>
        </w:rPr>
      </w:pPr>
      <w:r w:rsidRPr="001D1CA1">
        <w:rPr>
          <w:rStyle w:val="FootnoteReference"/>
          <w:sz w:val="20"/>
          <w:szCs w:val="20"/>
          <w:lang w:val="en-GB"/>
        </w:rPr>
        <w:footnoteRef/>
      </w:r>
      <w:r w:rsidRPr="001D1CA1">
        <w:rPr>
          <w:szCs w:val="20"/>
          <w:lang w:val="en-GB"/>
        </w:rPr>
        <w:t xml:space="preserve"> Bernstein &amp; Cashore, </w:t>
      </w:r>
      <w:r w:rsidRPr="001D1CA1">
        <w:rPr>
          <w:i/>
          <w:szCs w:val="20"/>
          <w:lang w:val="en-GB"/>
        </w:rPr>
        <w:t xml:space="preserve">supra </w:t>
      </w:r>
      <w:r w:rsidRPr="001D1CA1">
        <w:rPr>
          <w:szCs w:val="20"/>
          <w:lang w:val="en-GB"/>
        </w:rPr>
        <w:t xml:space="preserve">note </w:t>
      </w:r>
      <w:r w:rsidRPr="001D1CA1">
        <w:rPr>
          <w:szCs w:val="20"/>
          <w:lang w:val="en-GB"/>
        </w:rPr>
        <w:fldChar w:fldCharType="begin"/>
      </w:r>
      <w:r w:rsidRPr="001D1CA1">
        <w:rPr>
          <w:szCs w:val="20"/>
          <w:lang w:val="en-GB"/>
        </w:rPr>
        <w:instrText xml:space="preserve"> NOTEREF _Ref219177069 \h </w:instrText>
      </w:r>
      <w:r w:rsidRPr="001D1CA1">
        <w:rPr>
          <w:szCs w:val="20"/>
          <w:lang w:val="en-GB"/>
        </w:rPr>
      </w:r>
      <w:r w:rsidRPr="001D1CA1">
        <w:rPr>
          <w:szCs w:val="20"/>
          <w:lang w:val="en-GB"/>
        </w:rPr>
        <w:fldChar w:fldCharType="separate"/>
      </w:r>
      <w:r w:rsidR="000E69E4">
        <w:rPr>
          <w:szCs w:val="20"/>
          <w:lang w:val="en-GB"/>
        </w:rPr>
        <w:t>101</w:t>
      </w:r>
      <w:r w:rsidRPr="001D1CA1">
        <w:rPr>
          <w:szCs w:val="20"/>
          <w:lang w:val="en-GB"/>
        </w:rPr>
        <w:fldChar w:fldCharType="end"/>
      </w:r>
      <w:r w:rsidRPr="001D1CA1">
        <w:rPr>
          <w:szCs w:val="20"/>
          <w:lang w:val="en-GB"/>
        </w:rPr>
        <w:t xml:space="preserve"> at 5.</w:t>
      </w:r>
    </w:p>
  </w:footnote>
  <w:footnote w:id="168">
    <w:p w14:paraId="589DBBCD" w14:textId="77777777" w:rsidR="002E53A9" w:rsidRPr="001D1CA1" w:rsidRDefault="002E53A9" w:rsidP="00585F00">
      <w:pPr>
        <w:pStyle w:val="FootnoteText"/>
        <w:rPr>
          <w:szCs w:val="20"/>
          <w:lang w:val="en-GB"/>
        </w:rPr>
      </w:pPr>
      <w:r w:rsidRPr="001D1CA1">
        <w:rPr>
          <w:rStyle w:val="FootnoteReference"/>
          <w:sz w:val="20"/>
          <w:szCs w:val="20"/>
          <w:lang w:val="en-GB"/>
        </w:rPr>
        <w:footnoteRef/>
      </w:r>
      <w:r w:rsidRPr="001D1CA1">
        <w:rPr>
          <w:szCs w:val="20"/>
          <w:lang w:val="en-GB"/>
        </w:rPr>
        <w:t xml:space="preserve"> See references in note </w:t>
      </w:r>
      <w:r w:rsidRPr="001D1CA1">
        <w:rPr>
          <w:szCs w:val="20"/>
          <w:lang w:val="en-GB"/>
        </w:rPr>
        <w:fldChar w:fldCharType="begin"/>
      </w:r>
      <w:r w:rsidRPr="001D1CA1">
        <w:rPr>
          <w:szCs w:val="20"/>
          <w:lang w:val="en-GB"/>
        </w:rPr>
        <w:instrText xml:space="preserve"> NOTEREF _Ref223455662 \h </w:instrText>
      </w:r>
      <w:r w:rsidRPr="001D1CA1">
        <w:rPr>
          <w:szCs w:val="20"/>
          <w:lang w:val="en-GB"/>
        </w:rPr>
      </w:r>
      <w:r w:rsidRPr="001D1CA1">
        <w:rPr>
          <w:szCs w:val="20"/>
          <w:lang w:val="en-GB"/>
        </w:rPr>
        <w:fldChar w:fldCharType="separate"/>
      </w:r>
      <w:r w:rsidR="000E69E4">
        <w:rPr>
          <w:szCs w:val="20"/>
          <w:lang w:val="en-GB"/>
        </w:rPr>
        <w:t>81</w:t>
      </w:r>
      <w:r w:rsidRPr="001D1CA1">
        <w:rPr>
          <w:szCs w:val="20"/>
          <w:lang w:val="en-GB"/>
        </w:rPr>
        <w:fldChar w:fldCharType="end"/>
      </w:r>
      <w:r w:rsidRPr="001D1CA1">
        <w:rPr>
          <w:szCs w:val="20"/>
          <w:lang w:val="en-GB"/>
        </w:rPr>
        <w:t xml:space="preserve"> above. See also Ingrid Visseren-Hamakers </w:t>
      </w:r>
      <w:r w:rsidRPr="001D1CA1">
        <w:rPr>
          <w:i/>
          <w:szCs w:val="20"/>
          <w:lang w:val="en-GB"/>
        </w:rPr>
        <w:t>et al.</w:t>
      </w:r>
      <w:r w:rsidRPr="001D1CA1">
        <w:rPr>
          <w:szCs w:val="20"/>
          <w:lang w:val="en-GB"/>
        </w:rPr>
        <w:t>, “Will REDD + work ? The need for interdisciplinary research to address key challenges” (2012) 4 Current Opinion in Environmental Sustainability 1-7; Peter J. Kanowski, Constance L. McDermott &amp; Benjamin Cashore. “Implementing REDD+: lessons from analysis of forest governance” (2010) 14:2 Environmental Science &amp; Policy 111-117.</w:t>
      </w:r>
    </w:p>
  </w:footnote>
  <w:footnote w:id="169">
    <w:p w14:paraId="363A8968" w14:textId="77777777" w:rsidR="002E53A9" w:rsidRPr="001D1CA1" w:rsidRDefault="002E53A9" w:rsidP="00585F00">
      <w:pPr>
        <w:pStyle w:val="FootnoteText"/>
        <w:rPr>
          <w:szCs w:val="20"/>
          <w:lang w:val="en-GB"/>
        </w:rPr>
      </w:pPr>
      <w:r w:rsidRPr="001D1CA1">
        <w:rPr>
          <w:rStyle w:val="FootnoteReference"/>
          <w:sz w:val="20"/>
          <w:szCs w:val="20"/>
          <w:lang w:val="en-GB"/>
        </w:rPr>
        <w:footnoteRef/>
      </w:r>
      <w:r w:rsidRPr="001D1CA1">
        <w:rPr>
          <w:szCs w:val="20"/>
          <w:lang w:val="en-GB"/>
        </w:rPr>
        <w:t xml:space="preserve"> The Center for International Forestry Research is currently leading a global comparative research project examining REDD+ policy processes in various developing countries. See </w:t>
      </w:r>
      <w:r w:rsidRPr="001D1CA1">
        <w:rPr>
          <w:i/>
          <w:szCs w:val="20"/>
          <w:lang w:val="en-GB"/>
        </w:rPr>
        <w:t>supra</w:t>
      </w:r>
      <w:r w:rsidRPr="001D1CA1">
        <w:rPr>
          <w:szCs w:val="20"/>
          <w:lang w:val="en-GB"/>
        </w:rPr>
        <w:t xml:space="preserve"> note </w:t>
      </w:r>
      <w:r w:rsidRPr="001D1CA1">
        <w:rPr>
          <w:szCs w:val="20"/>
          <w:lang w:val="en-GB"/>
        </w:rPr>
        <w:fldChar w:fldCharType="begin"/>
      </w:r>
      <w:r w:rsidRPr="001D1CA1">
        <w:rPr>
          <w:szCs w:val="20"/>
          <w:lang w:val="en-GB"/>
        </w:rPr>
        <w:instrText xml:space="preserve"> NOTEREF _Ref223629471 \h </w:instrText>
      </w:r>
      <w:r w:rsidRPr="001D1CA1">
        <w:rPr>
          <w:szCs w:val="20"/>
          <w:lang w:val="en-GB"/>
        </w:rPr>
      </w:r>
      <w:r w:rsidRPr="001D1CA1">
        <w:rPr>
          <w:szCs w:val="20"/>
          <w:lang w:val="en-GB"/>
        </w:rPr>
        <w:fldChar w:fldCharType="separate"/>
      </w:r>
      <w:r w:rsidR="000E69E4">
        <w:rPr>
          <w:szCs w:val="20"/>
          <w:lang w:val="en-GB"/>
        </w:rPr>
        <w:t>99</w:t>
      </w:r>
      <w:r w:rsidRPr="001D1CA1">
        <w:rPr>
          <w:szCs w:val="20"/>
          <w:lang w:val="en-GB"/>
        </w:rPr>
        <w:fldChar w:fldCharType="end"/>
      </w:r>
      <w:r w:rsidRPr="001D1CA1">
        <w:rPr>
          <w:szCs w:val="20"/>
          <w:lang w:val="en-GB"/>
        </w:rPr>
        <w:t>.</w:t>
      </w:r>
    </w:p>
  </w:footnote>
  <w:footnote w:id="170">
    <w:p w14:paraId="7EB61DC3" w14:textId="1A58CCD0" w:rsidR="002E53A9" w:rsidRPr="001D1CA1" w:rsidRDefault="002E53A9" w:rsidP="00585F00">
      <w:pPr>
        <w:pStyle w:val="FootnoteText"/>
        <w:rPr>
          <w:szCs w:val="20"/>
          <w:lang w:val="en-GB"/>
        </w:rPr>
      </w:pPr>
      <w:r w:rsidRPr="001D1CA1">
        <w:rPr>
          <w:rStyle w:val="FootnoteReference"/>
          <w:sz w:val="20"/>
          <w:szCs w:val="20"/>
          <w:lang w:val="en-GB"/>
        </w:rPr>
        <w:footnoteRef/>
      </w:r>
      <w:r w:rsidRPr="001D1CA1">
        <w:rPr>
          <w:szCs w:val="20"/>
          <w:lang w:val="en-GB"/>
        </w:rPr>
        <w:t xml:space="preserve"> See, </w:t>
      </w:r>
      <w:r w:rsidRPr="001D1CA1">
        <w:rPr>
          <w:i/>
          <w:szCs w:val="20"/>
          <w:lang w:val="en-GB"/>
        </w:rPr>
        <w:t>e.g.,</w:t>
      </w:r>
      <w:r w:rsidRPr="001D1CA1">
        <w:rPr>
          <w:szCs w:val="20"/>
          <w:lang w:val="en-GB"/>
        </w:rPr>
        <w:t xml:space="preserve"> Andonova, Betsill &amp; Bulkeley, </w:t>
      </w:r>
      <w:r w:rsidRPr="001D1CA1">
        <w:rPr>
          <w:i/>
          <w:szCs w:val="20"/>
          <w:lang w:val="en-GB"/>
        </w:rPr>
        <w:t>supra</w:t>
      </w:r>
      <w:r w:rsidRPr="001D1CA1">
        <w:rPr>
          <w:szCs w:val="20"/>
          <w:lang w:val="en-GB"/>
        </w:rPr>
        <w:t xml:space="preserve"> note</w:t>
      </w:r>
      <w:r>
        <w:rPr>
          <w:szCs w:val="20"/>
          <w:lang w:val="en-GB"/>
        </w:rPr>
        <w:t xml:space="preserve"> </w:t>
      </w:r>
      <w:r>
        <w:rPr>
          <w:szCs w:val="20"/>
          <w:lang w:val="en-GB"/>
        </w:rPr>
        <w:fldChar w:fldCharType="begin"/>
      </w:r>
      <w:r>
        <w:rPr>
          <w:szCs w:val="20"/>
          <w:lang w:val="en-GB"/>
        </w:rPr>
        <w:instrText xml:space="preserve"> NOTEREF _Ref227654144 \h </w:instrText>
      </w:r>
      <w:r>
        <w:rPr>
          <w:szCs w:val="20"/>
          <w:lang w:val="en-GB"/>
        </w:rPr>
      </w:r>
      <w:r>
        <w:rPr>
          <w:szCs w:val="20"/>
          <w:lang w:val="en-GB"/>
        </w:rPr>
        <w:fldChar w:fldCharType="separate"/>
      </w:r>
      <w:r w:rsidR="000E69E4">
        <w:rPr>
          <w:szCs w:val="20"/>
          <w:lang w:val="en-GB"/>
        </w:rPr>
        <w:t>104</w:t>
      </w:r>
      <w:r>
        <w:rPr>
          <w:szCs w:val="20"/>
          <w:lang w:val="en-GB"/>
        </w:rPr>
        <w:fldChar w:fldCharType="end"/>
      </w:r>
      <w:r w:rsidRPr="001D1CA1">
        <w:rPr>
          <w:szCs w:val="20"/>
          <w:lang w:val="en-GB"/>
        </w:rPr>
        <w:t xml:space="preserve">; </w:t>
      </w:r>
      <w:r w:rsidRPr="001D1CA1">
        <w:rPr>
          <w:szCs w:val="20"/>
        </w:rPr>
        <w:t>Karin Bäckstrand, “Accountability of Networked Climate Governance : The Rise of Transnational Climate Partnerships” (2008) 8:3 Global Environmental Politics 74-102</w:t>
      </w:r>
      <w:r w:rsidRPr="001D1CA1">
        <w:rPr>
          <w:szCs w:val="20"/>
          <w:lang w:val="en-GB"/>
        </w:rPr>
        <w:t>; Chukwumerije Okereke, Harriet Bulkeley &amp; Heike Schroeder. “Conceptualizing Climate Governance Beyond the International Regime” (2009) 9:1 Global Environmental Politics 58-78; Ottavio Quirico, “Disentangling Climate Change Governance: A Legal Perspective” (2012) 21:2 Review of European Community and International Environmental Law 92-101.</w:t>
      </w:r>
    </w:p>
  </w:footnote>
  <w:footnote w:id="171">
    <w:p w14:paraId="7589EA04" w14:textId="77777777" w:rsidR="002E53A9" w:rsidRPr="001D1CA1" w:rsidRDefault="002E53A9" w:rsidP="00EC5D84">
      <w:pPr>
        <w:pStyle w:val="FootnoteText"/>
        <w:rPr>
          <w:szCs w:val="20"/>
          <w:lang w:val="en-GB"/>
        </w:rPr>
      </w:pPr>
      <w:r w:rsidRPr="001D1CA1">
        <w:rPr>
          <w:rStyle w:val="FootnoteReference"/>
          <w:sz w:val="20"/>
          <w:szCs w:val="20"/>
          <w:lang w:val="en-GB"/>
        </w:rPr>
        <w:footnoteRef/>
      </w:r>
      <w:r w:rsidRPr="001D1CA1">
        <w:rPr>
          <w:szCs w:val="20"/>
          <w:lang w:val="en-GB"/>
        </w:rPr>
        <w:t xml:space="preserve"> Dobbin, Simmons &amp; Garrett, </w:t>
      </w:r>
      <w:r w:rsidRPr="001D1CA1">
        <w:rPr>
          <w:i/>
          <w:szCs w:val="20"/>
          <w:lang w:val="en-GB"/>
        </w:rPr>
        <w:t>supra</w:t>
      </w:r>
      <w:r w:rsidRPr="001D1CA1">
        <w:rPr>
          <w:szCs w:val="20"/>
          <w:lang w:val="en-GB"/>
        </w:rPr>
        <w:t xml:space="preserve"> note </w:t>
      </w:r>
      <w:r w:rsidRPr="001D1CA1">
        <w:rPr>
          <w:szCs w:val="20"/>
          <w:lang w:val="en-GB"/>
        </w:rPr>
        <w:fldChar w:fldCharType="begin"/>
      </w:r>
      <w:r w:rsidRPr="001D1CA1">
        <w:rPr>
          <w:szCs w:val="20"/>
          <w:lang w:val="en-GB"/>
        </w:rPr>
        <w:instrText xml:space="preserve"> NOTEREF _Ref223594245 \h </w:instrText>
      </w:r>
      <w:r w:rsidRPr="001D1CA1">
        <w:rPr>
          <w:szCs w:val="20"/>
          <w:lang w:val="en-GB"/>
        </w:rPr>
      </w:r>
      <w:r w:rsidRPr="001D1CA1">
        <w:rPr>
          <w:szCs w:val="20"/>
          <w:lang w:val="en-GB"/>
        </w:rPr>
        <w:fldChar w:fldCharType="separate"/>
      </w:r>
      <w:r w:rsidR="000E69E4">
        <w:rPr>
          <w:szCs w:val="20"/>
          <w:lang w:val="en-GB"/>
        </w:rPr>
        <w:t>105</w:t>
      </w:r>
      <w:r w:rsidRPr="001D1CA1">
        <w:rPr>
          <w:szCs w:val="20"/>
          <w:lang w:val="en-GB"/>
        </w:rPr>
        <w:fldChar w:fldCharType="end"/>
      </w:r>
      <w:r w:rsidRPr="001D1CA1">
        <w:rPr>
          <w:szCs w:val="20"/>
          <w:lang w:val="en-GB"/>
        </w:rPr>
        <w:t xml:space="preserve"> at 463.</w:t>
      </w:r>
    </w:p>
  </w:footnote>
  <w:footnote w:id="172">
    <w:p w14:paraId="46E38AB9" w14:textId="77777777" w:rsidR="002E53A9" w:rsidRPr="001D1CA1" w:rsidRDefault="002E53A9" w:rsidP="00EC5D84">
      <w:pPr>
        <w:pStyle w:val="FootnoteText"/>
        <w:rPr>
          <w:szCs w:val="20"/>
          <w:lang w:val="fr-FR"/>
        </w:rPr>
      </w:pPr>
      <w:r w:rsidRPr="001D1CA1">
        <w:rPr>
          <w:rStyle w:val="FootnoteReference"/>
          <w:sz w:val="20"/>
          <w:szCs w:val="20"/>
        </w:rPr>
        <w:footnoteRef/>
      </w:r>
      <w:r w:rsidRPr="001D1CA1">
        <w:rPr>
          <w:szCs w:val="20"/>
        </w:rPr>
        <w:t xml:space="preserve"> </w:t>
      </w:r>
      <w:r w:rsidRPr="001D1CA1">
        <w:rPr>
          <w:szCs w:val="20"/>
          <w:lang w:val="en-GB"/>
        </w:rPr>
        <w:t xml:space="preserve">Orenstein, </w:t>
      </w:r>
      <w:r w:rsidRPr="001D1CA1">
        <w:rPr>
          <w:i/>
          <w:szCs w:val="20"/>
          <w:lang w:val="en-GB"/>
        </w:rPr>
        <w:t>supra</w:t>
      </w:r>
      <w:r w:rsidRPr="001D1CA1">
        <w:rPr>
          <w:szCs w:val="20"/>
          <w:lang w:val="en-GB"/>
        </w:rPr>
        <w:t xml:space="preserve"> note </w:t>
      </w:r>
      <w:r w:rsidRPr="001D1CA1">
        <w:rPr>
          <w:szCs w:val="20"/>
          <w:lang w:val="en-GB"/>
        </w:rPr>
        <w:fldChar w:fldCharType="begin"/>
      </w:r>
      <w:r w:rsidRPr="001D1CA1">
        <w:rPr>
          <w:szCs w:val="20"/>
          <w:lang w:val="en-GB"/>
        </w:rPr>
        <w:instrText xml:space="preserve"> NOTEREF _Ref223423181 \h </w:instrText>
      </w:r>
      <w:r w:rsidRPr="001D1CA1">
        <w:rPr>
          <w:szCs w:val="20"/>
          <w:lang w:val="en-GB"/>
        </w:rPr>
      </w:r>
      <w:r w:rsidRPr="001D1CA1">
        <w:rPr>
          <w:szCs w:val="20"/>
          <w:lang w:val="en-GB"/>
        </w:rPr>
        <w:fldChar w:fldCharType="separate"/>
      </w:r>
      <w:r w:rsidR="000E69E4">
        <w:rPr>
          <w:szCs w:val="20"/>
          <w:lang w:val="en-GB"/>
        </w:rPr>
        <w:t>13</w:t>
      </w:r>
      <w:r w:rsidRPr="001D1CA1">
        <w:rPr>
          <w:szCs w:val="20"/>
          <w:lang w:val="en-GB"/>
        </w:rPr>
        <w:fldChar w:fldCharType="end"/>
      </w:r>
      <w:r w:rsidRPr="001D1CA1">
        <w:rPr>
          <w:szCs w:val="20"/>
          <w:lang w:val="en-GB"/>
        </w:rPr>
        <w:t xml:space="preserve"> at</w:t>
      </w:r>
      <w:r w:rsidRPr="001D1CA1">
        <w:rPr>
          <w:szCs w:val="20"/>
          <w:lang w:val="fr-FR"/>
        </w:rPr>
        <w:t xml:space="preserve"> 173-174.</w:t>
      </w:r>
    </w:p>
  </w:footnote>
  <w:footnote w:id="173">
    <w:p w14:paraId="224DAB02" w14:textId="77777777" w:rsidR="002E53A9" w:rsidRPr="001D1CA1" w:rsidRDefault="002E53A9" w:rsidP="00EC5D84">
      <w:pPr>
        <w:pStyle w:val="FootnoteText"/>
        <w:rPr>
          <w:bCs/>
          <w:szCs w:val="20"/>
        </w:rPr>
      </w:pPr>
      <w:r w:rsidRPr="001D1CA1">
        <w:rPr>
          <w:rStyle w:val="FootnoteReference"/>
          <w:sz w:val="20"/>
          <w:szCs w:val="20"/>
          <w:lang w:val="en-GB"/>
        </w:rPr>
        <w:footnoteRef/>
      </w:r>
      <w:r w:rsidRPr="001D1CA1">
        <w:rPr>
          <w:szCs w:val="20"/>
          <w:lang w:val="en-GB"/>
        </w:rPr>
        <w:t xml:space="preserve"> </w:t>
      </w:r>
      <w:r w:rsidRPr="001D1CA1">
        <w:rPr>
          <w:szCs w:val="20"/>
        </w:rPr>
        <w:t xml:space="preserve">Fabrizio Gilardi, “Transnational Diffusion: Norms, Ideas, and Policies” in Walter Carlsnaes, Thomas Risse &amp; Beth Simmons, (eds.) </w:t>
      </w:r>
      <w:r w:rsidRPr="001D1CA1">
        <w:rPr>
          <w:i/>
          <w:szCs w:val="20"/>
        </w:rPr>
        <w:t>Handbook of International Relations</w:t>
      </w:r>
      <w:r w:rsidRPr="001D1CA1">
        <w:rPr>
          <w:szCs w:val="20"/>
        </w:rPr>
        <w:t xml:space="preserve"> (London, UK; Sage Publications, 2013) 453-477 </w:t>
      </w:r>
      <w:r w:rsidRPr="001D1CA1">
        <w:rPr>
          <w:szCs w:val="20"/>
          <w:lang w:val="en-GB"/>
        </w:rPr>
        <w:t>at 476.</w:t>
      </w:r>
    </w:p>
  </w:footnote>
  <w:footnote w:id="174">
    <w:p w14:paraId="18A6305D" w14:textId="77777777" w:rsidR="002E53A9" w:rsidRPr="001D1CA1" w:rsidRDefault="002E53A9" w:rsidP="00EC5D84">
      <w:pPr>
        <w:pStyle w:val="FootnoteText"/>
        <w:rPr>
          <w:szCs w:val="20"/>
          <w:lang w:val="en-GB"/>
        </w:rPr>
      </w:pPr>
      <w:r w:rsidRPr="001D1CA1">
        <w:rPr>
          <w:rStyle w:val="FootnoteReference"/>
          <w:sz w:val="20"/>
          <w:szCs w:val="20"/>
          <w:lang w:val="en-GB"/>
        </w:rPr>
        <w:footnoteRef/>
      </w:r>
      <w:r w:rsidRPr="001D1CA1">
        <w:rPr>
          <w:szCs w:val="20"/>
          <w:lang w:val="en-GB"/>
        </w:rPr>
        <w:t xml:space="preserve"> One exception is </w:t>
      </w:r>
      <w:r w:rsidRPr="001D1CA1">
        <w:rPr>
          <w:szCs w:val="20"/>
        </w:rPr>
        <w:t xml:space="preserve">Alyson Brysk, </w:t>
      </w:r>
      <w:r w:rsidRPr="001D1CA1">
        <w:rPr>
          <w:i/>
          <w:szCs w:val="20"/>
        </w:rPr>
        <w:t xml:space="preserve">From Tribal Village to </w:t>
      </w:r>
      <w:r w:rsidRPr="001D1CA1">
        <w:rPr>
          <w:bCs/>
          <w:i/>
          <w:szCs w:val="20"/>
        </w:rPr>
        <w:t>Global Village</w:t>
      </w:r>
      <w:r w:rsidRPr="001D1CA1">
        <w:rPr>
          <w:i/>
          <w:szCs w:val="20"/>
        </w:rPr>
        <w:t>: Indian Rights and International Relations in Latin America</w:t>
      </w:r>
      <w:r w:rsidRPr="001D1CA1">
        <w:rPr>
          <w:szCs w:val="20"/>
        </w:rPr>
        <w:t xml:space="preserve"> (Stanford, CA: Stanford University Press, 2000). </w:t>
      </w:r>
      <w:r w:rsidRPr="001D1CA1">
        <w:rPr>
          <w:szCs w:val="20"/>
          <w:lang w:val="en-GB"/>
        </w:rPr>
        <w:t xml:space="preserve">On the other hand, there is an extensive literature in anthropology on Indigenous rights: see, </w:t>
      </w:r>
      <w:r w:rsidRPr="001D1CA1">
        <w:rPr>
          <w:i/>
          <w:szCs w:val="20"/>
          <w:lang w:val="en-GB"/>
        </w:rPr>
        <w:t>e.g.</w:t>
      </w:r>
      <w:r w:rsidRPr="001D1CA1">
        <w:rPr>
          <w:szCs w:val="20"/>
          <w:lang w:val="en-GB"/>
        </w:rPr>
        <w:t xml:space="preserve">, Ronald Niesen, </w:t>
      </w:r>
      <w:r w:rsidRPr="001D1CA1">
        <w:rPr>
          <w:i/>
          <w:szCs w:val="20"/>
          <w:lang w:val="en-GB"/>
        </w:rPr>
        <w:t>The Origins of Indigenism: Human Rights and the Politics of Identity</w:t>
      </w:r>
      <w:r w:rsidRPr="001D1CA1">
        <w:rPr>
          <w:szCs w:val="20"/>
          <w:lang w:val="en-GB"/>
        </w:rPr>
        <w:t xml:space="preserve"> (Los Angeles, CA: University of California Press, 2003).</w:t>
      </w:r>
    </w:p>
  </w:footnote>
  <w:footnote w:id="175">
    <w:p w14:paraId="3A9A21F3" w14:textId="77777777" w:rsidR="002E53A9" w:rsidRPr="001D1CA1" w:rsidRDefault="002E53A9" w:rsidP="00EC5D84">
      <w:pPr>
        <w:pStyle w:val="FootnoteText"/>
        <w:rPr>
          <w:szCs w:val="20"/>
          <w:lang w:val="en-GB"/>
        </w:rPr>
      </w:pPr>
      <w:r w:rsidRPr="001D1CA1">
        <w:rPr>
          <w:rStyle w:val="FootnoteReference"/>
          <w:sz w:val="20"/>
          <w:szCs w:val="20"/>
          <w:lang w:val="en-GB"/>
        </w:rPr>
        <w:footnoteRef/>
      </w:r>
      <w:r w:rsidRPr="001D1CA1">
        <w:rPr>
          <w:szCs w:val="20"/>
          <w:lang w:val="en-GB"/>
        </w:rPr>
        <w:t xml:space="preserve"> See, </w:t>
      </w:r>
      <w:r w:rsidRPr="001D1CA1">
        <w:rPr>
          <w:i/>
          <w:szCs w:val="20"/>
          <w:lang w:val="en-GB"/>
        </w:rPr>
        <w:t>e.g.</w:t>
      </w:r>
      <w:r w:rsidRPr="001D1CA1">
        <w:rPr>
          <w:szCs w:val="20"/>
          <w:lang w:val="en-GB"/>
        </w:rPr>
        <w:t xml:space="preserve">, Oona A. Hathaway, “Do Human Rights Treaties Make a Difference?” (2002) 111:8 Yale Law Journal 1935-2042; Emilie M. Hafner-Burton &amp; Kiyoteru Tsutsui. “Human Rights in a Globalizing World: The Paradox of Empty Promises” (2005) 110:5 American Journal of Sociology 1373-1411; </w:t>
      </w:r>
      <w:r w:rsidRPr="001D1CA1">
        <w:rPr>
          <w:szCs w:val="20"/>
        </w:rPr>
        <w:t xml:space="preserve">Beth A. Simmons, </w:t>
      </w:r>
      <w:r w:rsidRPr="001D1CA1">
        <w:rPr>
          <w:i/>
          <w:szCs w:val="20"/>
        </w:rPr>
        <w:t>Mobilizing for Human Rights: International Law in Domestic Politics</w:t>
      </w:r>
      <w:r w:rsidRPr="001D1CA1">
        <w:rPr>
          <w:szCs w:val="20"/>
        </w:rPr>
        <w:t xml:space="preserve"> (Cambridge: Cambridge University Press, 2010).</w:t>
      </w:r>
    </w:p>
  </w:footnote>
  <w:footnote w:id="176">
    <w:p w14:paraId="461529AA" w14:textId="77777777" w:rsidR="002E53A9" w:rsidRPr="001D1CA1" w:rsidRDefault="002E53A9" w:rsidP="00EC5D84">
      <w:pPr>
        <w:pStyle w:val="FootnoteText"/>
        <w:rPr>
          <w:szCs w:val="20"/>
          <w:lang w:val="en-GB"/>
        </w:rPr>
      </w:pPr>
      <w:r w:rsidRPr="001D1CA1">
        <w:rPr>
          <w:rStyle w:val="FootnoteReference"/>
          <w:sz w:val="20"/>
          <w:szCs w:val="20"/>
          <w:lang w:val="en-GB"/>
        </w:rPr>
        <w:footnoteRef/>
      </w:r>
      <w:r w:rsidRPr="001D1CA1">
        <w:rPr>
          <w:szCs w:val="20"/>
          <w:lang w:val="en-GB"/>
        </w:rPr>
        <w:t xml:space="preserve"> See Sébastien Jodoin, “Should We Be So Positive About Environmental Rights? Review of David Boyd, </w:t>
      </w:r>
      <w:r w:rsidRPr="001D1CA1">
        <w:rPr>
          <w:i/>
          <w:szCs w:val="20"/>
          <w:lang w:val="en-GB"/>
        </w:rPr>
        <w:t>The Environmental Rights Revolution</w:t>
      </w:r>
      <w:r w:rsidRPr="001D1CA1">
        <w:rPr>
          <w:szCs w:val="20"/>
          <w:lang w:val="en-GB"/>
        </w:rPr>
        <w:t>” (2012) 8:1 McGill International Journal of Sustainable Development Law &amp; Policy 131-141.</w:t>
      </w:r>
    </w:p>
  </w:footnote>
  <w:footnote w:id="177">
    <w:p w14:paraId="34EC360D" w14:textId="77777777" w:rsidR="002E53A9" w:rsidRPr="001D1CA1" w:rsidRDefault="002E53A9" w:rsidP="00EC5D84">
      <w:pPr>
        <w:pStyle w:val="FootnoteText"/>
        <w:rPr>
          <w:szCs w:val="20"/>
          <w:lang w:val="en-GB"/>
        </w:rPr>
      </w:pPr>
      <w:r w:rsidRPr="001D1CA1">
        <w:rPr>
          <w:rStyle w:val="FootnoteReference"/>
          <w:sz w:val="20"/>
          <w:szCs w:val="20"/>
          <w:lang w:val="en-GB"/>
        </w:rPr>
        <w:footnoteRef/>
      </w:r>
      <w:r w:rsidRPr="001D1CA1">
        <w:rPr>
          <w:szCs w:val="20"/>
          <w:lang w:val="en-GB"/>
        </w:rPr>
        <w:t xml:space="preserve"> George Hoberg &amp; Edward Morawski, “Policy Change through Sector Intersection: Forest and Aboriginal Policy in Clayoquot Sound” (1997) 40:3 Canadian Public Administration 387-414.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0"/>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F907D0E"/>
    <w:multiLevelType w:val="hybridMultilevel"/>
    <w:tmpl w:val="9C6A0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2352C4"/>
    <w:multiLevelType w:val="hybridMultilevel"/>
    <w:tmpl w:val="F62EF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193C31"/>
    <w:multiLevelType w:val="hybridMultilevel"/>
    <w:tmpl w:val="B770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9A0027"/>
    <w:multiLevelType w:val="hybridMultilevel"/>
    <w:tmpl w:val="F5124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4181C0E"/>
    <w:multiLevelType w:val="hybridMultilevel"/>
    <w:tmpl w:val="142C19E2"/>
    <w:lvl w:ilvl="0" w:tplc="73E6C274">
      <w:start w:val="1"/>
      <w:numFmt w:val="bullet"/>
      <w:lvlText w:val="•"/>
      <w:lvlJc w:val="left"/>
      <w:pPr>
        <w:tabs>
          <w:tab w:val="num" w:pos="720"/>
        </w:tabs>
        <w:ind w:left="720" w:hanging="360"/>
      </w:pPr>
      <w:rPr>
        <w:rFonts w:ascii="Georgia" w:hAnsi="Georgia" w:hint="default"/>
      </w:rPr>
    </w:lvl>
    <w:lvl w:ilvl="1" w:tplc="7B74A034" w:tentative="1">
      <w:start w:val="1"/>
      <w:numFmt w:val="bullet"/>
      <w:lvlText w:val="•"/>
      <w:lvlJc w:val="left"/>
      <w:pPr>
        <w:tabs>
          <w:tab w:val="num" w:pos="1440"/>
        </w:tabs>
        <w:ind w:left="1440" w:hanging="360"/>
      </w:pPr>
      <w:rPr>
        <w:rFonts w:ascii="Georgia" w:hAnsi="Georgia" w:hint="default"/>
      </w:rPr>
    </w:lvl>
    <w:lvl w:ilvl="2" w:tplc="77E2924A" w:tentative="1">
      <w:start w:val="1"/>
      <w:numFmt w:val="bullet"/>
      <w:lvlText w:val="•"/>
      <w:lvlJc w:val="left"/>
      <w:pPr>
        <w:tabs>
          <w:tab w:val="num" w:pos="2160"/>
        </w:tabs>
        <w:ind w:left="2160" w:hanging="360"/>
      </w:pPr>
      <w:rPr>
        <w:rFonts w:ascii="Georgia" w:hAnsi="Georgia" w:hint="default"/>
      </w:rPr>
    </w:lvl>
    <w:lvl w:ilvl="3" w:tplc="96F23F26" w:tentative="1">
      <w:start w:val="1"/>
      <w:numFmt w:val="bullet"/>
      <w:lvlText w:val="•"/>
      <w:lvlJc w:val="left"/>
      <w:pPr>
        <w:tabs>
          <w:tab w:val="num" w:pos="2880"/>
        </w:tabs>
        <w:ind w:left="2880" w:hanging="360"/>
      </w:pPr>
      <w:rPr>
        <w:rFonts w:ascii="Georgia" w:hAnsi="Georgia" w:hint="default"/>
      </w:rPr>
    </w:lvl>
    <w:lvl w:ilvl="4" w:tplc="E1121CB0" w:tentative="1">
      <w:start w:val="1"/>
      <w:numFmt w:val="bullet"/>
      <w:lvlText w:val="•"/>
      <w:lvlJc w:val="left"/>
      <w:pPr>
        <w:tabs>
          <w:tab w:val="num" w:pos="3600"/>
        </w:tabs>
        <w:ind w:left="3600" w:hanging="360"/>
      </w:pPr>
      <w:rPr>
        <w:rFonts w:ascii="Georgia" w:hAnsi="Georgia" w:hint="default"/>
      </w:rPr>
    </w:lvl>
    <w:lvl w:ilvl="5" w:tplc="11869CD8" w:tentative="1">
      <w:start w:val="1"/>
      <w:numFmt w:val="bullet"/>
      <w:lvlText w:val="•"/>
      <w:lvlJc w:val="left"/>
      <w:pPr>
        <w:tabs>
          <w:tab w:val="num" w:pos="4320"/>
        </w:tabs>
        <w:ind w:left="4320" w:hanging="360"/>
      </w:pPr>
      <w:rPr>
        <w:rFonts w:ascii="Georgia" w:hAnsi="Georgia" w:hint="default"/>
      </w:rPr>
    </w:lvl>
    <w:lvl w:ilvl="6" w:tplc="8D7E94D0" w:tentative="1">
      <w:start w:val="1"/>
      <w:numFmt w:val="bullet"/>
      <w:lvlText w:val="•"/>
      <w:lvlJc w:val="left"/>
      <w:pPr>
        <w:tabs>
          <w:tab w:val="num" w:pos="5040"/>
        </w:tabs>
        <w:ind w:left="5040" w:hanging="360"/>
      </w:pPr>
      <w:rPr>
        <w:rFonts w:ascii="Georgia" w:hAnsi="Georgia" w:hint="default"/>
      </w:rPr>
    </w:lvl>
    <w:lvl w:ilvl="7" w:tplc="808ABF64" w:tentative="1">
      <w:start w:val="1"/>
      <w:numFmt w:val="bullet"/>
      <w:lvlText w:val="•"/>
      <w:lvlJc w:val="left"/>
      <w:pPr>
        <w:tabs>
          <w:tab w:val="num" w:pos="5760"/>
        </w:tabs>
        <w:ind w:left="5760" w:hanging="360"/>
      </w:pPr>
      <w:rPr>
        <w:rFonts w:ascii="Georgia" w:hAnsi="Georgia" w:hint="default"/>
      </w:rPr>
    </w:lvl>
    <w:lvl w:ilvl="8" w:tplc="D1A067AA" w:tentative="1">
      <w:start w:val="1"/>
      <w:numFmt w:val="bullet"/>
      <w:lvlText w:val="•"/>
      <w:lvlJc w:val="left"/>
      <w:pPr>
        <w:tabs>
          <w:tab w:val="num" w:pos="6480"/>
        </w:tabs>
        <w:ind w:left="6480" w:hanging="360"/>
      </w:pPr>
      <w:rPr>
        <w:rFonts w:ascii="Georgia" w:hAnsi="Georgia" w:hint="default"/>
      </w:rPr>
    </w:lvl>
  </w:abstractNum>
  <w:abstractNum w:abstractNumId="7">
    <w:nsid w:val="7D4F146D"/>
    <w:multiLevelType w:val="hybridMultilevel"/>
    <w:tmpl w:val="9C028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2"/>
  </w:num>
  <w:num w:numId="5">
    <w:abstractNumId w:val="1"/>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AB4"/>
    <w:rsid w:val="0000193B"/>
    <w:rsid w:val="00001F19"/>
    <w:rsid w:val="000032E8"/>
    <w:rsid w:val="000034D8"/>
    <w:rsid w:val="00003DD3"/>
    <w:rsid w:val="00004E7F"/>
    <w:rsid w:val="00005088"/>
    <w:rsid w:val="00005A9F"/>
    <w:rsid w:val="000060DC"/>
    <w:rsid w:val="000065BB"/>
    <w:rsid w:val="00006A6D"/>
    <w:rsid w:val="00006B12"/>
    <w:rsid w:val="00007BBA"/>
    <w:rsid w:val="00007DE0"/>
    <w:rsid w:val="00007E3C"/>
    <w:rsid w:val="00010061"/>
    <w:rsid w:val="00010B83"/>
    <w:rsid w:val="00012531"/>
    <w:rsid w:val="000128D0"/>
    <w:rsid w:val="000152C7"/>
    <w:rsid w:val="00015F2F"/>
    <w:rsid w:val="00015F73"/>
    <w:rsid w:val="00017042"/>
    <w:rsid w:val="000174D2"/>
    <w:rsid w:val="00020CBB"/>
    <w:rsid w:val="0002108F"/>
    <w:rsid w:val="000211A6"/>
    <w:rsid w:val="00022789"/>
    <w:rsid w:val="000238C7"/>
    <w:rsid w:val="00023FBC"/>
    <w:rsid w:val="0002404A"/>
    <w:rsid w:val="000255AE"/>
    <w:rsid w:val="00025E2D"/>
    <w:rsid w:val="000260E4"/>
    <w:rsid w:val="00030519"/>
    <w:rsid w:val="00030A6A"/>
    <w:rsid w:val="00030F50"/>
    <w:rsid w:val="00031259"/>
    <w:rsid w:val="000312B0"/>
    <w:rsid w:val="000315E8"/>
    <w:rsid w:val="00031B40"/>
    <w:rsid w:val="00031FB2"/>
    <w:rsid w:val="00032BCF"/>
    <w:rsid w:val="00032C3C"/>
    <w:rsid w:val="0003332D"/>
    <w:rsid w:val="00033DE4"/>
    <w:rsid w:val="00034B78"/>
    <w:rsid w:val="00034D80"/>
    <w:rsid w:val="0003716A"/>
    <w:rsid w:val="00037F51"/>
    <w:rsid w:val="0004063A"/>
    <w:rsid w:val="00040927"/>
    <w:rsid w:val="00040A4B"/>
    <w:rsid w:val="00042DC8"/>
    <w:rsid w:val="0004335F"/>
    <w:rsid w:val="000437FA"/>
    <w:rsid w:val="00044249"/>
    <w:rsid w:val="00044ADC"/>
    <w:rsid w:val="000451A2"/>
    <w:rsid w:val="00045C08"/>
    <w:rsid w:val="00046BCB"/>
    <w:rsid w:val="000471DB"/>
    <w:rsid w:val="00047377"/>
    <w:rsid w:val="00050B0B"/>
    <w:rsid w:val="0005118A"/>
    <w:rsid w:val="00051547"/>
    <w:rsid w:val="0005162B"/>
    <w:rsid w:val="00051DBA"/>
    <w:rsid w:val="00053346"/>
    <w:rsid w:val="00053B7D"/>
    <w:rsid w:val="000541B2"/>
    <w:rsid w:val="000541BE"/>
    <w:rsid w:val="000556A5"/>
    <w:rsid w:val="00056301"/>
    <w:rsid w:val="0005762E"/>
    <w:rsid w:val="000579C5"/>
    <w:rsid w:val="00057D85"/>
    <w:rsid w:val="000602A3"/>
    <w:rsid w:val="00061959"/>
    <w:rsid w:val="00062E9D"/>
    <w:rsid w:val="00064207"/>
    <w:rsid w:val="00064F3E"/>
    <w:rsid w:val="00065A6F"/>
    <w:rsid w:val="00065EA8"/>
    <w:rsid w:val="000707D6"/>
    <w:rsid w:val="000717BA"/>
    <w:rsid w:val="000717F6"/>
    <w:rsid w:val="000723D0"/>
    <w:rsid w:val="00072B74"/>
    <w:rsid w:val="00072FFB"/>
    <w:rsid w:val="00073A97"/>
    <w:rsid w:val="0007466E"/>
    <w:rsid w:val="00076864"/>
    <w:rsid w:val="00076E91"/>
    <w:rsid w:val="000777B9"/>
    <w:rsid w:val="00080AB4"/>
    <w:rsid w:val="00081420"/>
    <w:rsid w:val="000816DA"/>
    <w:rsid w:val="00081BDB"/>
    <w:rsid w:val="000821AF"/>
    <w:rsid w:val="0008338A"/>
    <w:rsid w:val="0008495E"/>
    <w:rsid w:val="000864EA"/>
    <w:rsid w:val="00086A20"/>
    <w:rsid w:val="00086DF2"/>
    <w:rsid w:val="00087110"/>
    <w:rsid w:val="000877C9"/>
    <w:rsid w:val="00090C68"/>
    <w:rsid w:val="00091A07"/>
    <w:rsid w:val="00091D0E"/>
    <w:rsid w:val="00092554"/>
    <w:rsid w:val="00093883"/>
    <w:rsid w:val="00093C87"/>
    <w:rsid w:val="000944C6"/>
    <w:rsid w:val="00094CED"/>
    <w:rsid w:val="00095619"/>
    <w:rsid w:val="00095AD7"/>
    <w:rsid w:val="00095B7B"/>
    <w:rsid w:val="00096277"/>
    <w:rsid w:val="000A023C"/>
    <w:rsid w:val="000A04C1"/>
    <w:rsid w:val="000A1236"/>
    <w:rsid w:val="000A1281"/>
    <w:rsid w:val="000A16D3"/>
    <w:rsid w:val="000A2522"/>
    <w:rsid w:val="000A3934"/>
    <w:rsid w:val="000A3C26"/>
    <w:rsid w:val="000A40F4"/>
    <w:rsid w:val="000A433B"/>
    <w:rsid w:val="000A447C"/>
    <w:rsid w:val="000A5885"/>
    <w:rsid w:val="000A5B4A"/>
    <w:rsid w:val="000A5B53"/>
    <w:rsid w:val="000A5F1B"/>
    <w:rsid w:val="000A667E"/>
    <w:rsid w:val="000A6768"/>
    <w:rsid w:val="000A6D86"/>
    <w:rsid w:val="000A7D8A"/>
    <w:rsid w:val="000B0971"/>
    <w:rsid w:val="000B0DF1"/>
    <w:rsid w:val="000B16C5"/>
    <w:rsid w:val="000B175A"/>
    <w:rsid w:val="000B266D"/>
    <w:rsid w:val="000B2E80"/>
    <w:rsid w:val="000B3265"/>
    <w:rsid w:val="000B3299"/>
    <w:rsid w:val="000B3789"/>
    <w:rsid w:val="000B46D6"/>
    <w:rsid w:val="000B4976"/>
    <w:rsid w:val="000B61F6"/>
    <w:rsid w:val="000B6A1A"/>
    <w:rsid w:val="000C13DC"/>
    <w:rsid w:val="000C13E8"/>
    <w:rsid w:val="000C17BF"/>
    <w:rsid w:val="000C2185"/>
    <w:rsid w:val="000C24CF"/>
    <w:rsid w:val="000C25EC"/>
    <w:rsid w:val="000C2C17"/>
    <w:rsid w:val="000C3163"/>
    <w:rsid w:val="000C3DED"/>
    <w:rsid w:val="000C3F85"/>
    <w:rsid w:val="000C3FBC"/>
    <w:rsid w:val="000C4364"/>
    <w:rsid w:val="000C482F"/>
    <w:rsid w:val="000C4B92"/>
    <w:rsid w:val="000C4E19"/>
    <w:rsid w:val="000C533D"/>
    <w:rsid w:val="000C60E8"/>
    <w:rsid w:val="000C7A35"/>
    <w:rsid w:val="000D01D3"/>
    <w:rsid w:val="000D02AB"/>
    <w:rsid w:val="000D0FB8"/>
    <w:rsid w:val="000D10D7"/>
    <w:rsid w:val="000D1CAE"/>
    <w:rsid w:val="000D2772"/>
    <w:rsid w:val="000D406E"/>
    <w:rsid w:val="000D48EC"/>
    <w:rsid w:val="000D4C0D"/>
    <w:rsid w:val="000D5C9F"/>
    <w:rsid w:val="000D5EDA"/>
    <w:rsid w:val="000D600F"/>
    <w:rsid w:val="000D60A6"/>
    <w:rsid w:val="000D6D35"/>
    <w:rsid w:val="000D7AD2"/>
    <w:rsid w:val="000E0301"/>
    <w:rsid w:val="000E0974"/>
    <w:rsid w:val="000E1461"/>
    <w:rsid w:val="000E1463"/>
    <w:rsid w:val="000E289E"/>
    <w:rsid w:val="000E2B24"/>
    <w:rsid w:val="000E3845"/>
    <w:rsid w:val="000E3CD9"/>
    <w:rsid w:val="000E474C"/>
    <w:rsid w:val="000E57F0"/>
    <w:rsid w:val="000E5845"/>
    <w:rsid w:val="000E5D07"/>
    <w:rsid w:val="000E5E4D"/>
    <w:rsid w:val="000E61B1"/>
    <w:rsid w:val="000E6403"/>
    <w:rsid w:val="000E6509"/>
    <w:rsid w:val="000E69E4"/>
    <w:rsid w:val="000E7F19"/>
    <w:rsid w:val="000F056C"/>
    <w:rsid w:val="000F07DF"/>
    <w:rsid w:val="000F1892"/>
    <w:rsid w:val="000F2044"/>
    <w:rsid w:val="000F25FB"/>
    <w:rsid w:val="000F2A73"/>
    <w:rsid w:val="000F2F71"/>
    <w:rsid w:val="000F3878"/>
    <w:rsid w:val="000F3C96"/>
    <w:rsid w:val="000F44A0"/>
    <w:rsid w:val="000F47BC"/>
    <w:rsid w:val="000F4FFB"/>
    <w:rsid w:val="000F581A"/>
    <w:rsid w:val="000F77BB"/>
    <w:rsid w:val="000F7B7A"/>
    <w:rsid w:val="000F7FB7"/>
    <w:rsid w:val="0010016A"/>
    <w:rsid w:val="001002EF"/>
    <w:rsid w:val="001002FC"/>
    <w:rsid w:val="00100AED"/>
    <w:rsid w:val="00101693"/>
    <w:rsid w:val="00101FA4"/>
    <w:rsid w:val="00102B6B"/>
    <w:rsid w:val="00102F67"/>
    <w:rsid w:val="00103471"/>
    <w:rsid w:val="0010361E"/>
    <w:rsid w:val="00103FD0"/>
    <w:rsid w:val="00104407"/>
    <w:rsid w:val="001045DE"/>
    <w:rsid w:val="0010565F"/>
    <w:rsid w:val="00105850"/>
    <w:rsid w:val="001067D0"/>
    <w:rsid w:val="0010682D"/>
    <w:rsid w:val="00110354"/>
    <w:rsid w:val="001131AD"/>
    <w:rsid w:val="001169AD"/>
    <w:rsid w:val="001169EC"/>
    <w:rsid w:val="00117E04"/>
    <w:rsid w:val="00117F81"/>
    <w:rsid w:val="0012076F"/>
    <w:rsid w:val="00121341"/>
    <w:rsid w:val="00121ABF"/>
    <w:rsid w:val="00121BE4"/>
    <w:rsid w:val="00122906"/>
    <w:rsid w:val="00122DD5"/>
    <w:rsid w:val="00122E8F"/>
    <w:rsid w:val="00122F8F"/>
    <w:rsid w:val="00123829"/>
    <w:rsid w:val="00123C61"/>
    <w:rsid w:val="00123CD2"/>
    <w:rsid w:val="00125103"/>
    <w:rsid w:val="001253FB"/>
    <w:rsid w:val="00125D14"/>
    <w:rsid w:val="00125D85"/>
    <w:rsid w:val="00126279"/>
    <w:rsid w:val="00126934"/>
    <w:rsid w:val="00126A2D"/>
    <w:rsid w:val="00126E85"/>
    <w:rsid w:val="00126F27"/>
    <w:rsid w:val="001305EC"/>
    <w:rsid w:val="00132DD9"/>
    <w:rsid w:val="0013337A"/>
    <w:rsid w:val="00134628"/>
    <w:rsid w:val="00134897"/>
    <w:rsid w:val="001352D3"/>
    <w:rsid w:val="00135519"/>
    <w:rsid w:val="00136C96"/>
    <w:rsid w:val="00136EAA"/>
    <w:rsid w:val="0013711C"/>
    <w:rsid w:val="00137EB9"/>
    <w:rsid w:val="00140673"/>
    <w:rsid w:val="00140E9D"/>
    <w:rsid w:val="00140F12"/>
    <w:rsid w:val="00141BFB"/>
    <w:rsid w:val="00141F3D"/>
    <w:rsid w:val="00142105"/>
    <w:rsid w:val="00143124"/>
    <w:rsid w:val="00143A61"/>
    <w:rsid w:val="00144E0F"/>
    <w:rsid w:val="0014566C"/>
    <w:rsid w:val="00146429"/>
    <w:rsid w:val="0014661B"/>
    <w:rsid w:val="00146931"/>
    <w:rsid w:val="001479DB"/>
    <w:rsid w:val="00147D10"/>
    <w:rsid w:val="00150D90"/>
    <w:rsid w:val="00151F52"/>
    <w:rsid w:val="00152687"/>
    <w:rsid w:val="00153246"/>
    <w:rsid w:val="0015347A"/>
    <w:rsid w:val="00154888"/>
    <w:rsid w:val="00154F8A"/>
    <w:rsid w:val="00155549"/>
    <w:rsid w:val="0015594D"/>
    <w:rsid w:val="001570F1"/>
    <w:rsid w:val="00157673"/>
    <w:rsid w:val="0015780A"/>
    <w:rsid w:val="00157887"/>
    <w:rsid w:val="001606CC"/>
    <w:rsid w:val="00161209"/>
    <w:rsid w:val="00161801"/>
    <w:rsid w:val="00161BCE"/>
    <w:rsid w:val="00161CC5"/>
    <w:rsid w:val="001627E5"/>
    <w:rsid w:val="00162F6E"/>
    <w:rsid w:val="00163262"/>
    <w:rsid w:val="001637CE"/>
    <w:rsid w:val="001638AA"/>
    <w:rsid w:val="00163CE4"/>
    <w:rsid w:val="0016506A"/>
    <w:rsid w:val="001652ED"/>
    <w:rsid w:val="00165F2B"/>
    <w:rsid w:val="001663C0"/>
    <w:rsid w:val="00167D67"/>
    <w:rsid w:val="001703A5"/>
    <w:rsid w:val="00170B12"/>
    <w:rsid w:val="001715AE"/>
    <w:rsid w:val="001730B3"/>
    <w:rsid w:val="0017342D"/>
    <w:rsid w:val="00173775"/>
    <w:rsid w:val="00173ACF"/>
    <w:rsid w:val="00176150"/>
    <w:rsid w:val="001763B2"/>
    <w:rsid w:val="001767C3"/>
    <w:rsid w:val="00177AB3"/>
    <w:rsid w:val="00180CDC"/>
    <w:rsid w:val="0018130B"/>
    <w:rsid w:val="00181DA8"/>
    <w:rsid w:val="00182F56"/>
    <w:rsid w:val="00182F9A"/>
    <w:rsid w:val="00183126"/>
    <w:rsid w:val="00184D97"/>
    <w:rsid w:val="00187383"/>
    <w:rsid w:val="0018759F"/>
    <w:rsid w:val="00187A8F"/>
    <w:rsid w:val="00190715"/>
    <w:rsid w:val="00190C6F"/>
    <w:rsid w:val="0019169E"/>
    <w:rsid w:val="00191EF9"/>
    <w:rsid w:val="0019238F"/>
    <w:rsid w:val="0019245E"/>
    <w:rsid w:val="0019274A"/>
    <w:rsid w:val="0019291A"/>
    <w:rsid w:val="00192982"/>
    <w:rsid w:val="00192A22"/>
    <w:rsid w:val="001941EE"/>
    <w:rsid w:val="001944D5"/>
    <w:rsid w:val="001955C7"/>
    <w:rsid w:val="001A0D51"/>
    <w:rsid w:val="001A3BC8"/>
    <w:rsid w:val="001A41D7"/>
    <w:rsid w:val="001A50DC"/>
    <w:rsid w:val="001A5821"/>
    <w:rsid w:val="001A68BF"/>
    <w:rsid w:val="001A6CA0"/>
    <w:rsid w:val="001A70B0"/>
    <w:rsid w:val="001A77A5"/>
    <w:rsid w:val="001A7A6F"/>
    <w:rsid w:val="001B052B"/>
    <w:rsid w:val="001B0836"/>
    <w:rsid w:val="001B0DA3"/>
    <w:rsid w:val="001B15B9"/>
    <w:rsid w:val="001B204F"/>
    <w:rsid w:val="001B218C"/>
    <w:rsid w:val="001B22AC"/>
    <w:rsid w:val="001B22EF"/>
    <w:rsid w:val="001B25FE"/>
    <w:rsid w:val="001B2BAD"/>
    <w:rsid w:val="001B4FAF"/>
    <w:rsid w:val="001B66D0"/>
    <w:rsid w:val="001B692C"/>
    <w:rsid w:val="001B6A66"/>
    <w:rsid w:val="001B7322"/>
    <w:rsid w:val="001B7A77"/>
    <w:rsid w:val="001B7B7F"/>
    <w:rsid w:val="001C0DC1"/>
    <w:rsid w:val="001C1F01"/>
    <w:rsid w:val="001C2198"/>
    <w:rsid w:val="001C2A23"/>
    <w:rsid w:val="001C35C1"/>
    <w:rsid w:val="001C37D3"/>
    <w:rsid w:val="001C37E3"/>
    <w:rsid w:val="001C3ACA"/>
    <w:rsid w:val="001C405C"/>
    <w:rsid w:val="001C405F"/>
    <w:rsid w:val="001C4626"/>
    <w:rsid w:val="001C5223"/>
    <w:rsid w:val="001C53AE"/>
    <w:rsid w:val="001C6138"/>
    <w:rsid w:val="001C6442"/>
    <w:rsid w:val="001C66A9"/>
    <w:rsid w:val="001C7366"/>
    <w:rsid w:val="001C7A41"/>
    <w:rsid w:val="001D09D6"/>
    <w:rsid w:val="001D1049"/>
    <w:rsid w:val="001D1CA1"/>
    <w:rsid w:val="001D2171"/>
    <w:rsid w:val="001D2243"/>
    <w:rsid w:val="001D24E8"/>
    <w:rsid w:val="001D38F2"/>
    <w:rsid w:val="001D3C04"/>
    <w:rsid w:val="001D4A86"/>
    <w:rsid w:val="001D5344"/>
    <w:rsid w:val="001D6417"/>
    <w:rsid w:val="001D65EF"/>
    <w:rsid w:val="001D70C6"/>
    <w:rsid w:val="001E0449"/>
    <w:rsid w:val="001E1318"/>
    <w:rsid w:val="001E1332"/>
    <w:rsid w:val="001E1422"/>
    <w:rsid w:val="001E159E"/>
    <w:rsid w:val="001E1997"/>
    <w:rsid w:val="001E2EAE"/>
    <w:rsid w:val="001E4A84"/>
    <w:rsid w:val="001E5BD2"/>
    <w:rsid w:val="001E65D7"/>
    <w:rsid w:val="001E7804"/>
    <w:rsid w:val="001E7AC2"/>
    <w:rsid w:val="001E7F0F"/>
    <w:rsid w:val="001F023F"/>
    <w:rsid w:val="001F066B"/>
    <w:rsid w:val="001F09DB"/>
    <w:rsid w:val="001F0B40"/>
    <w:rsid w:val="001F2568"/>
    <w:rsid w:val="001F35DC"/>
    <w:rsid w:val="001F3C23"/>
    <w:rsid w:val="001F47FD"/>
    <w:rsid w:val="001F4FB1"/>
    <w:rsid w:val="001F5550"/>
    <w:rsid w:val="001F6D06"/>
    <w:rsid w:val="002009C7"/>
    <w:rsid w:val="00201049"/>
    <w:rsid w:val="00201720"/>
    <w:rsid w:val="002020B6"/>
    <w:rsid w:val="00202410"/>
    <w:rsid w:val="002029AC"/>
    <w:rsid w:val="0020398E"/>
    <w:rsid w:val="00203A04"/>
    <w:rsid w:val="00203FF0"/>
    <w:rsid w:val="00204C1D"/>
    <w:rsid w:val="00204C7B"/>
    <w:rsid w:val="00204EB6"/>
    <w:rsid w:val="00204F34"/>
    <w:rsid w:val="002057B5"/>
    <w:rsid w:val="0020595E"/>
    <w:rsid w:val="00205A1F"/>
    <w:rsid w:val="00206240"/>
    <w:rsid w:val="00206E36"/>
    <w:rsid w:val="00207A21"/>
    <w:rsid w:val="0021058E"/>
    <w:rsid w:val="002107E7"/>
    <w:rsid w:val="00210D84"/>
    <w:rsid w:val="00210F63"/>
    <w:rsid w:val="002115F1"/>
    <w:rsid w:val="002118BC"/>
    <w:rsid w:val="00211CC0"/>
    <w:rsid w:val="00212156"/>
    <w:rsid w:val="002122D0"/>
    <w:rsid w:val="002127F5"/>
    <w:rsid w:val="00212877"/>
    <w:rsid w:val="002132DF"/>
    <w:rsid w:val="0021357E"/>
    <w:rsid w:val="002138FA"/>
    <w:rsid w:val="00215102"/>
    <w:rsid w:val="00215AEC"/>
    <w:rsid w:val="00216AAC"/>
    <w:rsid w:val="00217BD2"/>
    <w:rsid w:val="00217E57"/>
    <w:rsid w:val="00217EF7"/>
    <w:rsid w:val="00220634"/>
    <w:rsid w:val="00222DD1"/>
    <w:rsid w:val="002238B1"/>
    <w:rsid w:val="00223F13"/>
    <w:rsid w:val="0022483C"/>
    <w:rsid w:val="00224C3E"/>
    <w:rsid w:val="00225413"/>
    <w:rsid w:val="002254AD"/>
    <w:rsid w:val="00226315"/>
    <w:rsid w:val="00226D97"/>
    <w:rsid w:val="00227243"/>
    <w:rsid w:val="002274C9"/>
    <w:rsid w:val="0022772F"/>
    <w:rsid w:val="00227A99"/>
    <w:rsid w:val="002301F5"/>
    <w:rsid w:val="002302F3"/>
    <w:rsid w:val="002307D1"/>
    <w:rsid w:val="00231728"/>
    <w:rsid w:val="002318CA"/>
    <w:rsid w:val="00231F79"/>
    <w:rsid w:val="002320C1"/>
    <w:rsid w:val="0023228E"/>
    <w:rsid w:val="00232352"/>
    <w:rsid w:val="0023267A"/>
    <w:rsid w:val="002329F3"/>
    <w:rsid w:val="002331FC"/>
    <w:rsid w:val="0023334D"/>
    <w:rsid w:val="00233699"/>
    <w:rsid w:val="002339DA"/>
    <w:rsid w:val="00234516"/>
    <w:rsid w:val="002352D6"/>
    <w:rsid w:val="00235365"/>
    <w:rsid w:val="00236624"/>
    <w:rsid w:val="002367A4"/>
    <w:rsid w:val="0023691D"/>
    <w:rsid w:val="00236C60"/>
    <w:rsid w:val="00240519"/>
    <w:rsid w:val="0024073A"/>
    <w:rsid w:val="00240EB0"/>
    <w:rsid w:val="0024145B"/>
    <w:rsid w:val="00241629"/>
    <w:rsid w:val="00243B81"/>
    <w:rsid w:val="00244485"/>
    <w:rsid w:val="00245687"/>
    <w:rsid w:val="002459A7"/>
    <w:rsid w:val="00245AF2"/>
    <w:rsid w:val="00245F66"/>
    <w:rsid w:val="00246A45"/>
    <w:rsid w:val="00247E17"/>
    <w:rsid w:val="002514F7"/>
    <w:rsid w:val="00251C27"/>
    <w:rsid w:val="0025220E"/>
    <w:rsid w:val="002524D8"/>
    <w:rsid w:val="00252902"/>
    <w:rsid w:val="00253416"/>
    <w:rsid w:val="00253F8E"/>
    <w:rsid w:val="0025572C"/>
    <w:rsid w:val="002560EC"/>
    <w:rsid w:val="0026000E"/>
    <w:rsid w:val="0026010B"/>
    <w:rsid w:val="0026035E"/>
    <w:rsid w:val="00260460"/>
    <w:rsid w:val="00261D06"/>
    <w:rsid w:val="00262938"/>
    <w:rsid w:val="00263D45"/>
    <w:rsid w:val="00265108"/>
    <w:rsid w:val="00265794"/>
    <w:rsid w:val="00265C1F"/>
    <w:rsid w:val="0026624A"/>
    <w:rsid w:val="002668BF"/>
    <w:rsid w:val="00270B40"/>
    <w:rsid w:val="002718AB"/>
    <w:rsid w:val="00272D71"/>
    <w:rsid w:val="0027448E"/>
    <w:rsid w:val="002753DB"/>
    <w:rsid w:val="00275CC9"/>
    <w:rsid w:val="002765ED"/>
    <w:rsid w:val="00277268"/>
    <w:rsid w:val="00277326"/>
    <w:rsid w:val="0027753D"/>
    <w:rsid w:val="00281A65"/>
    <w:rsid w:val="00281AB0"/>
    <w:rsid w:val="00281EA7"/>
    <w:rsid w:val="00281FF0"/>
    <w:rsid w:val="0028231C"/>
    <w:rsid w:val="00282379"/>
    <w:rsid w:val="00282C51"/>
    <w:rsid w:val="00282CB2"/>
    <w:rsid w:val="00283924"/>
    <w:rsid w:val="00283CD4"/>
    <w:rsid w:val="00283D18"/>
    <w:rsid w:val="00284996"/>
    <w:rsid w:val="00284D28"/>
    <w:rsid w:val="00285469"/>
    <w:rsid w:val="00285798"/>
    <w:rsid w:val="00285A6B"/>
    <w:rsid w:val="00286506"/>
    <w:rsid w:val="00287641"/>
    <w:rsid w:val="00291C37"/>
    <w:rsid w:val="00291D92"/>
    <w:rsid w:val="002924B4"/>
    <w:rsid w:val="00292A9E"/>
    <w:rsid w:val="00292AE6"/>
    <w:rsid w:val="00292D5B"/>
    <w:rsid w:val="00293360"/>
    <w:rsid w:val="00294086"/>
    <w:rsid w:val="00294537"/>
    <w:rsid w:val="002947F5"/>
    <w:rsid w:val="00294A71"/>
    <w:rsid w:val="00295240"/>
    <w:rsid w:val="002954BC"/>
    <w:rsid w:val="0029671E"/>
    <w:rsid w:val="0029764C"/>
    <w:rsid w:val="00297B6B"/>
    <w:rsid w:val="00297C37"/>
    <w:rsid w:val="002A07F4"/>
    <w:rsid w:val="002A08F9"/>
    <w:rsid w:val="002A1684"/>
    <w:rsid w:val="002A31CB"/>
    <w:rsid w:val="002A3DFF"/>
    <w:rsid w:val="002A3ED6"/>
    <w:rsid w:val="002A3EDF"/>
    <w:rsid w:val="002A3EFE"/>
    <w:rsid w:val="002A4370"/>
    <w:rsid w:val="002A447D"/>
    <w:rsid w:val="002A5CAD"/>
    <w:rsid w:val="002A5D48"/>
    <w:rsid w:val="002A625B"/>
    <w:rsid w:val="002A6855"/>
    <w:rsid w:val="002B04F1"/>
    <w:rsid w:val="002B0F21"/>
    <w:rsid w:val="002B18EC"/>
    <w:rsid w:val="002B20D0"/>
    <w:rsid w:val="002B2370"/>
    <w:rsid w:val="002B2719"/>
    <w:rsid w:val="002B2CE9"/>
    <w:rsid w:val="002B365E"/>
    <w:rsid w:val="002B44C5"/>
    <w:rsid w:val="002B52B6"/>
    <w:rsid w:val="002B5CFE"/>
    <w:rsid w:val="002B66C2"/>
    <w:rsid w:val="002B695D"/>
    <w:rsid w:val="002B6B5F"/>
    <w:rsid w:val="002C08A5"/>
    <w:rsid w:val="002C15A8"/>
    <w:rsid w:val="002C2202"/>
    <w:rsid w:val="002C27E6"/>
    <w:rsid w:val="002C28A8"/>
    <w:rsid w:val="002C30EC"/>
    <w:rsid w:val="002C37B8"/>
    <w:rsid w:val="002C3CD1"/>
    <w:rsid w:val="002C4332"/>
    <w:rsid w:val="002C55CD"/>
    <w:rsid w:val="002C60E4"/>
    <w:rsid w:val="002C629B"/>
    <w:rsid w:val="002C68AD"/>
    <w:rsid w:val="002C7072"/>
    <w:rsid w:val="002C7E78"/>
    <w:rsid w:val="002D1EF4"/>
    <w:rsid w:val="002D2309"/>
    <w:rsid w:val="002D289D"/>
    <w:rsid w:val="002D3345"/>
    <w:rsid w:val="002D38B5"/>
    <w:rsid w:val="002D5C18"/>
    <w:rsid w:val="002D777C"/>
    <w:rsid w:val="002D79CE"/>
    <w:rsid w:val="002E046A"/>
    <w:rsid w:val="002E1392"/>
    <w:rsid w:val="002E13F9"/>
    <w:rsid w:val="002E327F"/>
    <w:rsid w:val="002E53A9"/>
    <w:rsid w:val="002E5513"/>
    <w:rsid w:val="002E636A"/>
    <w:rsid w:val="002F2672"/>
    <w:rsid w:val="002F27AC"/>
    <w:rsid w:val="002F2DFE"/>
    <w:rsid w:val="002F35E5"/>
    <w:rsid w:val="002F3CA3"/>
    <w:rsid w:val="002F3DB1"/>
    <w:rsid w:val="002F781A"/>
    <w:rsid w:val="002F7BD4"/>
    <w:rsid w:val="00301E43"/>
    <w:rsid w:val="00302974"/>
    <w:rsid w:val="0030299D"/>
    <w:rsid w:val="00305329"/>
    <w:rsid w:val="0030542E"/>
    <w:rsid w:val="00305642"/>
    <w:rsid w:val="003066E3"/>
    <w:rsid w:val="00307303"/>
    <w:rsid w:val="00307C5E"/>
    <w:rsid w:val="003102C5"/>
    <w:rsid w:val="00310CA1"/>
    <w:rsid w:val="00312AF8"/>
    <w:rsid w:val="00313DE2"/>
    <w:rsid w:val="00314056"/>
    <w:rsid w:val="003141F9"/>
    <w:rsid w:val="00315500"/>
    <w:rsid w:val="00315505"/>
    <w:rsid w:val="003165D7"/>
    <w:rsid w:val="0032020F"/>
    <w:rsid w:val="0032086A"/>
    <w:rsid w:val="00321E21"/>
    <w:rsid w:val="003234A8"/>
    <w:rsid w:val="00325153"/>
    <w:rsid w:val="00325232"/>
    <w:rsid w:val="00325425"/>
    <w:rsid w:val="00325E2C"/>
    <w:rsid w:val="003263CD"/>
    <w:rsid w:val="00326457"/>
    <w:rsid w:val="003269C6"/>
    <w:rsid w:val="00326D3F"/>
    <w:rsid w:val="00326E4B"/>
    <w:rsid w:val="00327BEB"/>
    <w:rsid w:val="00327F97"/>
    <w:rsid w:val="0033004B"/>
    <w:rsid w:val="003300B3"/>
    <w:rsid w:val="00330E9A"/>
    <w:rsid w:val="003313A6"/>
    <w:rsid w:val="00331AE6"/>
    <w:rsid w:val="0033296A"/>
    <w:rsid w:val="00333423"/>
    <w:rsid w:val="003337C4"/>
    <w:rsid w:val="00333934"/>
    <w:rsid w:val="0033417C"/>
    <w:rsid w:val="00334671"/>
    <w:rsid w:val="00334A88"/>
    <w:rsid w:val="003350BE"/>
    <w:rsid w:val="00335729"/>
    <w:rsid w:val="0033687C"/>
    <w:rsid w:val="00336A15"/>
    <w:rsid w:val="003375D5"/>
    <w:rsid w:val="00337BFE"/>
    <w:rsid w:val="00340277"/>
    <w:rsid w:val="00340A2E"/>
    <w:rsid w:val="00340D67"/>
    <w:rsid w:val="00340D81"/>
    <w:rsid w:val="0034153F"/>
    <w:rsid w:val="00341CEE"/>
    <w:rsid w:val="00342A62"/>
    <w:rsid w:val="00342ACB"/>
    <w:rsid w:val="0034315E"/>
    <w:rsid w:val="003431ED"/>
    <w:rsid w:val="00343F09"/>
    <w:rsid w:val="00346034"/>
    <w:rsid w:val="003469B7"/>
    <w:rsid w:val="003470F0"/>
    <w:rsid w:val="00350C1A"/>
    <w:rsid w:val="00350CD1"/>
    <w:rsid w:val="00351E1E"/>
    <w:rsid w:val="00352008"/>
    <w:rsid w:val="0035219A"/>
    <w:rsid w:val="0035236B"/>
    <w:rsid w:val="00353DA1"/>
    <w:rsid w:val="003549BD"/>
    <w:rsid w:val="003554DB"/>
    <w:rsid w:val="0035617C"/>
    <w:rsid w:val="0035651B"/>
    <w:rsid w:val="00356566"/>
    <w:rsid w:val="003570FC"/>
    <w:rsid w:val="00357830"/>
    <w:rsid w:val="00357988"/>
    <w:rsid w:val="003601CE"/>
    <w:rsid w:val="0036043D"/>
    <w:rsid w:val="003614A7"/>
    <w:rsid w:val="00361508"/>
    <w:rsid w:val="00361C88"/>
    <w:rsid w:val="0036238E"/>
    <w:rsid w:val="00362C69"/>
    <w:rsid w:val="00363195"/>
    <w:rsid w:val="0036571E"/>
    <w:rsid w:val="00365CDB"/>
    <w:rsid w:val="00365E28"/>
    <w:rsid w:val="003675B0"/>
    <w:rsid w:val="00367C10"/>
    <w:rsid w:val="00370D98"/>
    <w:rsid w:val="00371727"/>
    <w:rsid w:val="00371828"/>
    <w:rsid w:val="003724FD"/>
    <w:rsid w:val="00372520"/>
    <w:rsid w:val="00372E47"/>
    <w:rsid w:val="0037350B"/>
    <w:rsid w:val="00374387"/>
    <w:rsid w:val="00374397"/>
    <w:rsid w:val="0037490F"/>
    <w:rsid w:val="00375A9C"/>
    <w:rsid w:val="00375D6C"/>
    <w:rsid w:val="003761EC"/>
    <w:rsid w:val="003763BF"/>
    <w:rsid w:val="00377D7E"/>
    <w:rsid w:val="0038003D"/>
    <w:rsid w:val="00380FFE"/>
    <w:rsid w:val="00381065"/>
    <w:rsid w:val="00381185"/>
    <w:rsid w:val="00381BD5"/>
    <w:rsid w:val="0038414C"/>
    <w:rsid w:val="0038525E"/>
    <w:rsid w:val="00385EC8"/>
    <w:rsid w:val="003866D4"/>
    <w:rsid w:val="00386C88"/>
    <w:rsid w:val="00386E52"/>
    <w:rsid w:val="003877A8"/>
    <w:rsid w:val="003903A4"/>
    <w:rsid w:val="0039059F"/>
    <w:rsid w:val="003906E5"/>
    <w:rsid w:val="00393CBB"/>
    <w:rsid w:val="0039430A"/>
    <w:rsid w:val="00394BB9"/>
    <w:rsid w:val="00395649"/>
    <w:rsid w:val="00395E7E"/>
    <w:rsid w:val="003975BD"/>
    <w:rsid w:val="00397EF3"/>
    <w:rsid w:val="003A103B"/>
    <w:rsid w:val="003A174C"/>
    <w:rsid w:val="003A1CDD"/>
    <w:rsid w:val="003A23E4"/>
    <w:rsid w:val="003A246C"/>
    <w:rsid w:val="003A2702"/>
    <w:rsid w:val="003A29ED"/>
    <w:rsid w:val="003A2D8F"/>
    <w:rsid w:val="003A70EE"/>
    <w:rsid w:val="003A77D5"/>
    <w:rsid w:val="003B0451"/>
    <w:rsid w:val="003B062A"/>
    <w:rsid w:val="003B09D5"/>
    <w:rsid w:val="003B0A43"/>
    <w:rsid w:val="003B2222"/>
    <w:rsid w:val="003B2812"/>
    <w:rsid w:val="003B2E53"/>
    <w:rsid w:val="003B3030"/>
    <w:rsid w:val="003B3423"/>
    <w:rsid w:val="003B34E2"/>
    <w:rsid w:val="003B3EA4"/>
    <w:rsid w:val="003B466C"/>
    <w:rsid w:val="003B5088"/>
    <w:rsid w:val="003B5DA9"/>
    <w:rsid w:val="003B5F72"/>
    <w:rsid w:val="003B5F76"/>
    <w:rsid w:val="003B6571"/>
    <w:rsid w:val="003B72C1"/>
    <w:rsid w:val="003B72EE"/>
    <w:rsid w:val="003B738A"/>
    <w:rsid w:val="003B7838"/>
    <w:rsid w:val="003B7C9D"/>
    <w:rsid w:val="003C064F"/>
    <w:rsid w:val="003C0CD7"/>
    <w:rsid w:val="003C0E20"/>
    <w:rsid w:val="003C1798"/>
    <w:rsid w:val="003C1893"/>
    <w:rsid w:val="003C1AA7"/>
    <w:rsid w:val="003C2F6B"/>
    <w:rsid w:val="003C3261"/>
    <w:rsid w:val="003C3990"/>
    <w:rsid w:val="003C5651"/>
    <w:rsid w:val="003C5742"/>
    <w:rsid w:val="003C5AFB"/>
    <w:rsid w:val="003C6F12"/>
    <w:rsid w:val="003D0C22"/>
    <w:rsid w:val="003D0C9A"/>
    <w:rsid w:val="003D17F3"/>
    <w:rsid w:val="003D1EAE"/>
    <w:rsid w:val="003D2DE6"/>
    <w:rsid w:val="003D3633"/>
    <w:rsid w:val="003D391E"/>
    <w:rsid w:val="003D3E4F"/>
    <w:rsid w:val="003D4971"/>
    <w:rsid w:val="003D56AE"/>
    <w:rsid w:val="003D5D0F"/>
    <w:rsid w:val="003D68C2"/>
    <w:rsid w:val="003D6BDE"/>
    <w:rsid w:val="003D7C7B"/>
    <w:rsid w:val="003E08C9"/>
    <w:rsid w:val="003E096C"/>
    <w:rsid w:val="003E291D"/>
    <w:rsid w:val="003E3140"/>
    <w:rsid w:val="003E39F0"/>
    <w:rsid w:val="003E3BF6"/>
    <w:rsid w:val="003E4098"/>
    <w:rsid w:val="003E5C5A"/>
    <w:rsid w:val="003E63A7"/>
    <w:rsid w:val="003E64A4"/>
    <w:rsid w:val="003F14EA"/>
    <w:rsid w:val="003F18A8"/>
    <w:rsid w:val="003F2110"/>
    <w:rsid w:val="003F29A3"/>
    <w:rsid w:val="003F2C5E"/>
    <w:rsid w:val="003F2EC3"/>
    <w:rsid w:val="003F3362"/>
    <w:rsid w:val="003F36D8"/>
    <w:rsid w:val="003F3798"/>
    <w:rsid w:val="003F3E37"/>
    <w:rsid w:val="003F451F"/>
    <w:rsid w:val="003F5D53"/>
    <w:rsid w:val="003F6049"/>
    <w:rsid w:val="003F6594"/>
    <w:rsid w:val="003F688C"/>
    <w:rsid w:val="003F72C3"/>
    <w:rsid w:val="003F7CFA"/>
    <w:rsid w:val="004000DF"/>
    <w:rsid w:val="00400269"/>
    <w:rsid w:val="00400464"/>
    <w:rsid w:val="004018E7"/>
    <w:rsid w:val="00404A35"/>
    <w:rsid w:val="00404A9D"/>
    <w:rsid w:val="00404B97"/>
    <w:rsid w:val="00405547"/>
    <w:rsid w:val="00406BE3"/>
    <w:rsid w:val="004072EB"/>
    <w:rsid w:val="00407785"/>
    <w:rsid w:val="00407995"/>
    <w:rsid w:val="0041097A"/>
    <w:rsid w:val="00410D9D"/>
    <w:rsid w:val="00411031"/>
    <w:rsid w:val="00411B48"/>
    <w:rsid w:val="004121A4"/>
    <w:rsid w:val="00412B85"/>
    <w:rsid w:val="00412FDF"/>
    <w:rsid w:val="004135BE"/>
    <w:rsid w:val="004138B4"/>
    <w:rsid w:val="00414032"/>
    <w:rsid w:val="004149CF"/>
    <w:rsid w:val="004153EE"/>
    <w:rsid w:val="00416CC6"/>
    <w:rsid w:val="00417630"/>
    <w:rsid w:val="004202E1"/>
    <w:rsid w:val="00420884"/>
    <w:rsid w:val="0042181B"/>
    <w:rsid w:val="00421D88"/>
    <w:rsid w:val="00422B2B"/>
    <w:rsid w:val="0042374D"/>
    <w:rsid w:val="004238D7"/>
    <w:rsid w:val="00424092"/>
    <w:rsid w:val="00424490"/>
    <w:rsid w:val="00424C3F"/>
    <w:rsid w:val="00424CC8"/>
    <w:rsid w:val="00424F2D"/>
    <w:rsid w:val="004256B8"/>
    <w:rsid w:val="004262C4"/>
    <w:rsid w:val="00427538"/>
    <w:rsid w:val="00427F31"/>
    <w:rsid w:val="004303B8"/>
    <w:rsid w:val="00430DA4"/>
    <w:rsid w:val="00431664"/>
    <w:rsid w:val="004325CC"/>
    <w:rsid w:val="00433292"/>
    <w:rsid w:val="00433DDE"/>
    <w:rsid w:val="004350B9"/>
    <w:rsid w:val="004358BC"/>
    <w:rsid w:val="004365FE"/>
    <w:rsid w:val="00436DB6"/>
    <w:rsid w:val="00436F4D"/>
    <w:rsid w:val="004376C5"/>
    <w:rsid w:val="0044019D"/>
    <w:rsid w:val="00441874"/>
    <w:rsid w:val="00442256"/>
    <w:rsid w:val="00442876"/>
    <w:rsid w:val="004429CF"/>
    <w:rsid w:val="00442A7C"/>
    <w:rsid w:val="00445410"/>
    <w:rsid w:val="00445AB2"/>
    <w:rsid w:val="00445AFE"/>
    <w:rsid w:val="00446AE8"/>
    <w:rsid w:val="00446B63"/>
    <w:rsid w:val="004472D6"/>
    <w:rsid w:val="00450236"/>
    <w:rsid w:val="00451572"/>
    <w:rsid w:val="0045182C"/>
    <w:rsid w:val="00451AF8"/>
    <w:rsid w:val="00451BDC"/>
    <w:rsid w:val="00451E8F"/>
    <w:rsid w:val="00453CB2"/>
    <w:rsid w:val="00454E40"/>
    <w:rsid w:val="004551B6"/>
    <w:rsid w:val="004563BD"/>
    <w:rsid w:val="004601C9"/>
    <w:rsid w:val="00460802"/>
    <w:rsid w:val="00460D6F"/>
    <w:rsid w:val="00461AD1"/>
    <w:rsid w:val="00462BC6"/>
    <w:rsid w:val="004639CB"/>
    <w:rsid w:val="00464029"/>
    <w:rsid w:val="0046412E"/>
    <w:rsid w:val="004646B6"/>
    <w:rsid w:val="00464A67"/>
    <w:rsid w:val="00464C93"/>
    <w:rsid w:val="00467D41"/>
    <w:rsid w:val="00470188"/>
    <w:rsid w:val="004703A9"/>
    <w:rsid w:val="004708A3"/>
    <w:rsid w:val="00470EC1"/>
    <w:rsid w:val="00471925"/>
    <w:rsid w:val="00471E02"/>
    <w:rsid w:val="00472758"/>
    <w:rsid w:val="0047286F"/>
    <w:rsid w:val="00472C1C"/>
    <w:rsid w:val="0047336B"/>
    <w:rsid w:val="00473F71"/>
    <w:rsid w:val="004745D8"/>
    <w:rsid w:val="0047618C"/>
    <w:rsid w:val="0047632C"/>
    <w:rsid w:val="00476399"/>
    <w:rsid w:val="0047648A"/>
    <w:rsid w:val="00476C74"/>
    <w:rsid w:val="00477A24"/>
    <w:rsid w:val="00480B3C"/>
    <w:rsid w:val="00481378"/>
    <w:rsid w:val="004818DF"/>
    <w:rsid w:val="00482E34"/>
    <w:rsid w:val="00482E5E"/>
    <w:rsid w:val="004830E8"/>
    <w:rsid w:val="00483E7E"/>
    <w:rsid w:val="00484D0A"/>
    <w:rsid w:val="00484D58"/>
    <w:rsid w:val="0048507F"/>
    <w:rsid w:val="0048526D"/>
    <w:rsid w:val="00485624"/>
    <w:rsid w:val="00486B31"/>
    <w:rsid w:val="00487A2A"/>
    <w:rsid w:val="00487C6C"/>
    <w:rsid w:val="0049021E"/>
    <w:rsid w:val="00490516"/>
    <w:rsid w:val="00491089"/>
    <w:rsid w:val="004910E6"/>
    <w:rsid w:val="004922D7"/>
    <w:rsid w:val="004924E3"/>
    <w:rsid w:val="00492A2C"/>
    <w:rsid w:val="00492B83"/>
    <w:rsid w:val="004940D6"/>
    <w:rsid w:val="0049465E"/>
    <w:rsid w:val="004952C6"/>
    <w:rsid w:val="004952E8"/>
    <w:rsid w:val="00495F3E"/>
    <w:rsid w:val="0049635D"/>
    <w:rsid w:val="00496381"/>
    <w:rsid w:val="00496684"/>
    <w:rsid w:val="004A0261"/>
    <w:rsid w:val="004A06CA"/>
    <w:rsid w:val="004A2138"/>
    <w:rsid w:val="004A2699"/>
    <w:rsid w:val="004A2A1D"/>
    <w:rsid w:val="004A4236"/>
    <w:rsid w:val="004A5874"/>
    <w:rsid w:val="004A5D7F"/>
    <w:rsid w:val="004A655F"/>
    <w:rsid w:val="004A667E"/>
    <w:rsid w:val="004A6737"/>
    <w:rsid w:val="004A7269"/>
    <w:rsid w:val="004A7649"/>
    <w:rsid w:val="004B049C"/>
    <w:rsid w:val="004B04F1"/>
    <w:rsid w:val="004B1439"/>
    <w:rsid w:val="004B2C17"/>
    <w:rsid w:val="004B4180"/>
    <w:rsid w:val="004B4950"/>
    <w:rsid w:val="004B4F21"/>
    <w:rsid w:val="004B57BA"/>
    <w:rsid w:val="004B62F2"/>
    <w:rsid w:val="004B633F"/>
    <w:rsid w:val="004B64DB"/>
    <w:rsid w:val="004B6D58"/>
    <w:rsid w:val="004B762A"/>
    <w:rsid w:val="004C0318"/>
    <w:rsid w:val="004C0606"/>
    <w:rsid w:val="004C0EC3"/>
    <w:rsid w:val="004C3118"/>
    <w:rsid w:val="004C5130"/>
    <w:rsid w:val="004C5236"/>
    <w:rsid w:val="004C5E78"/>
    <w:rsid w:val="004C7AA6"/>
    <w:rsid w:val="004C7B55"/>
    <w:rsid w:val="004D01B0"/>
    <w:rsid w:val="004D1ED5"/>
    <w:rsid w:val="004D20D5"/>
    <w:rsid w:val="004D27BF"/>
    <w:rsid w:val="004D2F37"/>
    <w:rsid w:val="004D4C6D"/>
    <w:rsid w:val="004D5497"/>
    <w:rsid w:val="004D597C"/>
    <w:rsid w:val="004D649E"/>
    <w:rsid w:val="004D64AE"/>
    <w:rsid w:val="004D67C0"/>
    <w:rsid w:val="004D67F3"/>
    <w:rsid w:val="004D6875"/>
    <w:rsid w:val="004D6CD9"/>
    <w:rsid w:val="004D6E35"/>
    <w:rsid w:val="004D7000"/>
    <w:rsid w:val="004D7549"/>
    <w:rsid w:val="004E0509"/>
    <w:rsid w:val="004E0616"/>
    <w:rsid w:val="004E06AE"/>
    <w:rsid w:val="004E0AEA"/>
    <w:rsid w:val="004E0FBE"/>
    <w:rsid w:val="004E1726"/>
    <w:rsid w:val="004E1771"/>
    <w:rsid w:val="004E1F78"/>
    <w:rsid w:val="004E2537"/>
    <w:rsid w:val="004E2694"/>
    <w:rsid w:val="004E2DA3"/>
    <w:rsid w:val="004E3496"/>
    <w:rsid w:val="004E43D7"/>
    <w:rsid w:val="004E4A47"/>
    <w:rsid w:val="004E4AAA"/>
    <w:rsid w:val="004E4C02"/>
    <w:rsid w:val="004E6AC4"/>
    <w:rsid w:val="004F0229"/>
    <w:rsid w:val="004F0960"/>
    <w:rsid w:val="004F13B7"/>
    <w:rsid w:val="004F232A"/>
    <w:rsid w:val="004F2DDE"/>
    <w:rsid w:val="004F356F"/>
    <w:rsid w:val="004F37A4"/>
    <w:rsid w:val="004F38E5"/>
    <w:rsid w:val="004F3C55"/>
    <w:rsid w:val="004F402B"/>
    <w:rsid w:val="004F4236"/>
    <w:rsid w:val="004F42A5"/>
    <w:rsid w:val="004F4C53"/>
    <w:rsid w:val="004F5376"/>
    <w:rsid w:val="004F53AF"/>
    <w:rsid w:val="004F5759"/>
    <w:rsid w:val="004F5830"/>
    <w:rsid w:val="004F5B23"/>
    <w:rsid w:val="004F6CA0"/>
    <w:rsid w:val="004F737B"/>
    <w:rsid w:val="004F7791"/>
    <w:rsid w:val="004F7ABF"/>
    <w:rsid w:val="00500D1C"/>
    <w:rsid w:val="00500EB9"/>
    <w:rsid w:val="0050137C"/>
    <w:rsid w:val="005019DF"/>
    <w:rsid w:val="005030EC"/>
    <w:rsid w:val="005057C3"/>
    <w:rsid w:val="005064BA"/>
    <w:rsid w:val="0050678C"/>
    <w:rsid w:val="00506B2D"/>
    <w:rsid w:val="00506DF6"/>
    <w:rsid w:val="00506E6B"/>
    <w:rsid w:val="0050763E"/>
    <w:rsid w:val="00507FF0"/>
    <w:rsid w:val="0051041B"/>
    <w:rsid w:val="00510B1C"/>
    <w:rsid w:val="005111D7"/>
    <w:rsid w:val="00511A81"/>
    <w:rsid w:val="00511E5F"/>
    <w:rsid w:val="0051270D"/>
    <w:rsid w:val="005128BC"/>
    <w:rsid w:val="00512DFF"/>
    <w:rsid w:val="00512F6D"/>
    <w:rsid w:val="00512FDE"/>
    <w:rsid w:val="00513233"/>
    <w:rsid w:val="0051334A"/>
    <w:rsid w:val="0051397F"/>
    <w:rsid w:val="00513C9C"/>
    <w:rsid w:val="00515316"/>
    <w:rsid w:val="00517481"/>
    <w:rsid w:val="00517A58"/>
    <w:rsid w:val="00517DDB"/>
    <w:rsid w:val="0052061B"/>
    <w:rsid w:val="005207A3"/>
    <w:rsid w:val="00520BE0"/>
    <w:rsid w:val="00521AC1"/>
    <w:rsid w:val="0052230B"/>
    <w:rsid w:val="00522952"/>
    <w:rsid w:val="0052361E"/>
    <w:rsid w:val="00523EA2"/>
    <w:rsid w:val="005243DE"/>
    <w:rsid w:val="005247EB"/>
    <w:rsid w:val="00525223"/>
    <w:rsid w:val="00526B93"/>
    <w:rsid w:val="00526EE8"/>
    <w:rsid w:val="00526F90"/>
    <w:rsid w:val="00527D1C"/>
    <w:rsid w:val="00530270"/>
    <w:rsid w:val="00530A97"/>
    <w:rsid w:val="00530D21"/>
    <w:rsid w:val="00531C58"/>
    <w:rsid w:val="0053274E"/>
    <w:rsid w:val="00533097"/>
    <w:rsid w:val="00533445"/>
    <w:rsid w:val="00533E7B"/>
    <w:rsid w:val="00534ED9"/>
    <w:rsid w:val="005361B4"/>
    <w:rsid w:val="00536332"/>
    <w:rsid w:val="00536B07"/>
    <w:rsid w:val="00536CE7"/>
    <w:rsid w:val="005374E9"/>
    <w:rsid w:val="00537D38"/>
    <w:rsid w:val="005402DE"/>
    <w:rsid w:val="005405DA"/>
    <w:rsid w:val="00540706"/>
    <w:rsid w:val="00540976"/>
    <w:rsid w:val="00542B21"/>
    <w:rsid w:val="00542FF4"/>
    <w:rsid w:val="00543E65"/>
    <w:rsid w:val="005440DF"/>
    <w:rsid w:val="005442B2"/>
    <w:rsid w:val="00544339"/>
    <w:rsid w:val="005449D4"/>
    <w:rsid w:val="00545ACB"/>
    <w:rsid w:val="005460CC"/>
    <w:rsid w:val="005464C0"/>
    <w:rsid w:val="005513F0"/>
    <w:rsid w:val="00551D14"/>
    <w:rsid w:val="005522CC"/>
    <w:rsid w:val="00552D26"/>
    <w:rsid w:val="00553636"/>
    <w:rsid w:val="00553D65"/>
    <w:rsid w:val="00554968"/>
    <w:rsid w:val="00555293"/>
    <w:rsid w:val="00555721"/>
    <w:rsid w:val="005560D7"/>
    <w:rsid w:val="00557870"/>
    <w:rsid w:val="00557AB4"/>
    <w:rsid w:val="00557DBC"/>
    <w:rsid w:val="005605CE"/>
    <w:rsid w:val="00561740"/>
    <w:rsid w:val="00561753"/>
    <w:rsid w:val="00561EF3"/>
    <w:rsid w:val="00561F28"/>
    <w:rsid w:val="0056225D"/>
    <w:rsid w:val="005622A5"/>
    <w:rsid w:val="00562784"/>
    <w:rsid w:val="005627AA"/>
    <w:rsid w:val="00562871"/>
    <w:rsid w:val="00563541"/>
    <w:rsid w:val="005635CF"/>
    <w:rsid w:val="0056362E"/>
    <w:rsid w:val="0056470E"/>
    <w:rsid w:val="00564E34"/>
    <w:rsid w:val="0056533F"/>
    <w:rsid w:val="00565A86"/>
    <w:rsid w:val="00565D25"/>
    <w:rsid w:val="00566364"/>
    <w:rsid w:val="005668DB"/>
    <w:rsid w:val="0056776E"/>
    <w:rsid w:val="00570A53"/>
    <w:rsid w:val="00570C28"/>
    <w:rsid w:val="00572AD8"/>
    <w:rsid w:val="00572B5B"/>
    <w:rsid w:val="0057306F"/>
    <w:rsid w:val="00573140"/>
    <w:rsid w:val="005750BC"/>
    <w:rsid w:val="00575558"/>
    <w:rsid w:val="005763CD"/>
    <w:rsid w:val="0058039C"/>
    <w:rsid w:val="00580AB3"/>
    <w:rsid w:val="005815DD"/>
    <w:rsid w:val="00583B66"/>
    <w:rsid w:val="00583D3C"/>
    <w:rsid w:val="005842A1"/>
    <w:rsid w:val="00584849"/>
    <w:rsid w:val="00585A8C"/>
    <w:rsid w:val="00585BD6"/>
    <w:rsid w:val="00585D07"/>
    <w:rsid w:val="00585F00"/>
    <w:rsid w:val="00585F84"/>
    <w:rsid w:val="00586609"/>
    <w:rsid w:val="00586CF9"/>
    <w:rsid w:val="00590691"/>
    <w:rsid w:val="005909A9"/>
    <w:rsid w:val="00590B8C"/>
    <w:rsid w:val="005911AB"/>
    <w:rsid w:val="0059262D"/>
    <w:rsid w:val="005927D2"/>
    <w:rsid w:val="00592B7B"/>
    <w:rsid w:val="00593CCA"/>
    <w:rsid w:val="00594465"/>
    <w:rsid w:val="005944F5"/>
    <w:rsid w:val="005947FF"/>
    <w:rsid w:val="00594895"/>
    <w:rsid w:val="00595C09"/>
    <w:rsid w:val="0059672F"/>
    <w:rsid w:val="005973C1"/>
    <w:rsid w:val="00597B9A"/>
    <w:rsid w:val="005A0515"/>
    <w:rsid w:val="005A08DE"/>
    <w:rsid w:val="005A3153"/>
    <w:rsid w:val="005A3539"/>
    <w:rsid w:val="005A3C9F"/>
    <w:rsid w:val="005A481D"/>
    <w:rsid w:val="005A4A56"/>
    <w:rsid w:val="005A4B96"/>
    <w:rsid w:val="005A5DA6"/>
    <w:rsid w:val="005A65DF"/>
    <w:rsid w:val="005A7766"/>
    <w:rsid w:val="005B1AF4"/>
    <w:rsid w:val="005B4648"/>
    <w:rsid w:val="005B49DF"/>
    <w:rsid w:val="005B49E4"/>
    <w:rsid w:val="005B5E06"/>
    <w:rsid w:val="005B6EB2"/>
    <w:rsid w:val="005B7D81"/>
    <w:rsid w:val="005C150B"/>
    <w:rsid w:val="005C1EBA"/>
    <w:rsid w:val="005C2409"/>
    <w:rsid w:val="005C2E21"/>
    <w:rsid w:val="005C2F52"/>
    <w:rsid w:val="005C400C"/>
    <w:rsid w:val="005C47B8"/>
    <w:rsid w:val="005C4EF3"/>
    <w:rsid w:val="005C51B2"/>
    <w:rsid w:val="005C56CF"/>
    <w:rsid w:val="005C57AE"/>
    <w:rsid w:val="005C5959"/>
    <w:rsid w:val="005C5C22"/>
    <w:rsid w:val="005C61E9"/>
    <w:rsid w:val="005C6250"/>
    <w:rsid w:val="005C7BDE"/>
    <w:rsid w:val="005C7E22"/>
    <w:rsid w:val="005C7EF9"/>
    <w:rsid w:val="005D074B"/>
    <w:rsid w:val="005D0BFD"/>
    <w:rsid w:val="005D2609"/>
    <w:rsid w:val="005D27C1"/>
    <w:rsid w:val="005D2E8A"/>
    <w:rsid w:val="005D2F3C"/>
    <w:rsid w:val="005D32F7"/>
    <w:rsid w:val="005D358A"/>
    <w:rsid w:val="005D6CBF"/>
    <w:rsid w:val="005D7740"/>
    <w:rsid w:val="005D7FF6"/>
    <w:rsid w:val="005E0073"/>
    <w:rsid w:val="005E09D5"/>
    <w:rsid w:val="005E1770"/>
    <w:rsid w:val="005E2162"/>
    <w:rsid w:val="005E2E05"/>
    <w:rsid w:val="005E3790"/>
    <w:rsid w:val="005E37D8"/>
    <w:rsid w:val="005E405A"/>
    <w:rsid w:val="005E4078"/>
    <w:rsid w:val="005E441E"/>
    <w:rsid w:val="005E4742"/>
    <w:rsid w:val="005E4CC1"/>
    <w:rsid w:val="005E516A"/>
    <w:rsid w:val="005E67B9"/>
    <w:rsid w:val="005E71A5"/>
    <w:rsid w:val="005E7389"/>
    <w:rsid w:val="005F0750"/>
    <w:rsid w:val="005F128D"/>
    <w:rsid w:val="005F1BE8"/>
    <w:rsid w:val="005F234E"/>
    <w:rsid w:val="005F26FD"/>
    <w:rsid w:val="005F2869"/>
    <w:rsid w:val="005F2B49"/>
    <w:rsid w:val="005F4AB4"/>
    <w:rsid w:val="005F6220"/>
    <w:rsid w:val="005F735E"/>
    <w:rsid w:val="005F7DF9"/>
    <w:rsid w:val="0060054C"/>
    <w:rsid w:val="006006F9"/>
    <w:rsid w:val="00600DDA"/>
    <w:rsid w:val="0060164B"/>
    <w:rsid w:val="00602186"/>
    <w:rsid w:val="0060321C"/>
    <w:rsid w:val="00603F13"/>
    <w:rsid w:val="006049D6"/>
    <w:rsid w:val="00605330"/>
    <w:rsid w:val="006063FC"/>
    <w:rsid w:val="006065FC"/>
    <w:rsid w:val="00606768"/>
    <w:rsid w:val="00607804"/>
    <w:rsid w:val="006104B8"/>
    <w:rsid w:val="00610833"/>
    <w:rsid w:val="006109F8"/>
    <w:rsid w:val="00611231"/>
    <w:rsid w:val="00611902"/>
    <w:rsid w:val="00611FC0"/>
    <w:rsid w:val="00612474"/>
    <w:rsid w:val="006126EE"/>
    <w:rsid w:val="006129E3"/>
    <w:rsid w:val="0061386F"/>
    <w:rsid w:val="00613B59"/>
    <w:rsid w:val="0061592D"/>
    <w:rsid w:val="0061655D"/>
    <w:rsid w:val="006177A4"/>
    <w:rsid w:val="00620347"/>
    <w:rsid w:val="00620D35"/>
    <w:rsid w:val="0062110E"/>
    <w:rsid w:val="0062130D"/>
    <w:rsid w:val="0062171D"/>
    <w:rsid w:val="00621D70"/>
    <w:rsid w:val="00622C16"/>
    <w:rsid w:val="006231B1"/>
    <w:rsid w:val="00623D5D"/>
    <w:rsid w:val="00624813"/>
    <w:rsid w:val="00624E36"/>
    <w:rsid w:val="0062560B"/>
    <w:rsid w:val="00626320"/>
    <w:rsid w:val="0062658E"/>
    <w:rsid w:val="00626D44"/>
    <w:rsid w:val="00626E49"/>
    <w:rsid w:val="00627239"/>
    <w:rsid w:val="0062753C"/>
    <w:rsid w:val="00627D3E"/>
    <w:rsid w:val="00627F8C"/>
    <w:rsid w:val="006318F0"/>
    <w:rsid w:val="006328B1"/>
    <w:rsid w:val="00632A48"/>
    <w:rsid w:val="00633609"/>
    <w:rsid w:val="0063398E"/>
    <w:rsid w:val="00633BEA"/>
    <w:rsid w:val="0063488A"/>
    <w:rsid w:val="00634B88"/>
    <w:rsid w:val="00637DA9"/>
    <w:rsid w:val="00640187"/>
    <w:rsid w:val="0064064F"/>
    <w:rsid w:val="00640A86"/>
    <w:rsid w:val="00640D7B"/>
    <w:rsid w:val="00640E87"/>
    <w:rsid w:val="00640FB0"/>
    <w:rsid w:val="00641278"/>
    <w:rsid w:val="00641480"/>
    <w:rsid w:val="00641C97"/>
    <w:rsid w:val="006421E3"/>
    <w:rsid w:val="00645D49"/>
    <w:rsid w:val="00645DF9"/>
    <w:rsid w:val="00645E96"/>
    <w:rsid w:val="006461B3"/>
    <w:rsid w:val="006461C5"/>
    <w:rsid w:val="00647033"/>
    <w:rsid w:val="006473CF"/>
    <w:rsid w:val="00647825"/>
    <w:rsid w:val="00647E13"/>
    <w:rsid w:val="006504D8"/>
    <w:rsid w:val="00650805"/>
    <w:rsid w:val="006509ED"/>
    <w:rsid w:val="00650AFE"/>
    <w:rsid w:val="006521C1"/>
    <w:rsid w:val="00652D4A"/>
    <w:rsid w:val="00652EC7"/>
    <w:rsid w:val="00654753"/>
    <w:rsid w:val="00654AE3"/>
    <w:rsid w:val="00655210"/>
    <w:rsid w:val="006552CF"/>
    <w:rsid w:val="00655EE5"/>
    <w:rsid w:val="006562E9"/>
    <w:rsid w:val="00660DA4"/>
    <w:rsid w:val="00662DBF"/>
    <w:rsid w:val="00663A79"/>
    <w:rsid w:val="0066429E"/>
    <w:rsid w:val="006645B9"/>
    <w:rsid w:val="006647D9"/>
    <w:rsid w:val="00664946"/>
    <w:rsid w:val="006650AC"/>
    <w:rsid w:val="00665206"/>
    <w:rsid w:val="00670D95"/>
    <w:rsid w:val="00671B95"/>
    <w:rsid w:val="0067203A"/>
    <w:rsid w:val="00672CA8"/>
    <w:rsid w:val="0067304F"/>
    <w:rsid w:val="00673674"/>
    <w:rsid w:val="00675D07"/>
    <w:rsid w:val="0067639B"/>
    <w:rsid w:val="00680AB7"/>
    <w:rsid w:val="00681385"/>
    <w:rsid w:val="00681513"/>
    <w:rsid w:val="0068158D"/>
    <w:rsid w:val="006815AB"/>
    <w:rsid w:val="00681881"/>
    <w:rsid w:val="00681B16"/>
    <w:rsid w:val="006839BD"/>
    <w:rsid w:val="0068405C"/>
    <w:rsid w:val="00684567"/>
    <w:rsid w:val="00684B04"/>
    <w:rsid w:val="00685136"/>
    <w:rsid w:val="0068654F"/>
    <w:rsid w:val="00686FA2"/>
    <w:rsid w:val="0068728C"/>
    <w:rsid w:val="00687528"/>
    <w:rsid w:val="006908C4"/>
    <w:rsid w:val="00691A03"/>
    <w:rsid w:val="0069222F"/>
    <w:rsid w:val="00693909"/>
    <w:rsid w:val="00694BFD"/>
    <w:rsid w:val="00694F11"/>
    <w:rsid w:val="0069560F"/>
    <w:rsid w:val="00695D20"/>
    <w:rsid w:val="00695E71"/>
    <w:rsid w:val="0069711F"/>
    <w:rsid w:val="00697B6A"/>
    <w:rsid w:val="006A0214"/>
    <w:rsid w:val="006A0334"/>
    <w:rsid w:val="006A0786"/>
    <w:rsid w:val="006A0876"/>
    <w:rsid w:val="006A0C50"/>
    <w:rsid w:val="006A10F0"/>
    <w:rsid w:val="006A180D"/>
    <w:rsid w:val="006A18CD"/>
    <w:rsid w:val="006A2493"/>
    <w:rsid w:val="006A2559"/>
    <w:rsid w:val="006A289E"/>
    <w:rsid w:val="006A34E4"/>
    <w:rsid w:val="006A5FF9"/>
    <w:rsid w:val="006A63CD"/>
    <w:rsid w:val="006A6577"/>
    <w:rsid w:val="006A7592"/>
    <w:rsid w:val="006B046D"/>
    <w:rsid w:val="006B1AE7"/>
    <w:rsid w:val="006B34BD"/>
    <w:rsid w:val="006B3D1F"/>
    <w:rsid w:val="006B4CF7"/>
    <w:rsid w:val="006B4E6D"/>
    <w:rsid w:val="006B5590"/>
    <w:rsid w:val="006B5F06"/>
    <w:rsid w:val="006B5FF4"/>
    <w:rsid w:val="006B6974"/>
    <w:rsid w:val="006B6CCA"/>
    <w:rsid w:val="006B7793"/>
    <w:rsid w:val="006C0170"/>
    <w:rsid w:val="006C2957"/>
    <w:rsid w:val="006C3FC7"/>
    <w:rsid w:val="006C500F"/>
    <w:rsid w:val="006C5130"/>
    <w:rsid w:val="006C582B"/>
    <w:rsid w:val="006C5EF5"/>
    <w:rsid w:val="006C621A"/>
    <w:rsid w:val="006C624C"/>
    <w:rsid w:val="006C6B93"/>
    <w:rsid w:val="006C74D0"/>
    <w:rsid w:val="006D0D6B"/>
    <w:rsid w:val="006D1755"/>
    <w:rsid w:val="006D2415"/>
    <w:rsid w:val="006D28A4"/>
    <w:rsid w:val="006D398D"/>
    <w:rsid w:val="006D3AEF"/>
    <w:rsid w:val="006D4700"/>
    <w:rsid w:val="006D49E1"/>
    <w:rsid w:val="006D6A1D"/>
    <w:rsid w:val="006D705F"/>
    <w:rsid w:val="006D78BC"/>
    <w:rsid w:val="006E06AD"/>
    <w:rsid w:val="006E0F5E"/>
    <w:rsid w:val="006E1119"/>
    <w:rsid w:val="006E2DB6"/>
    <w:rsid w:val="006E2DC1"/>
    <w:rsid w:val="006E2E70"/>
    <w:rsid w:val="006E32A4"/>
    <w:rsid w:val="006E42D6"/>
    <w:rsid w:val="006E44E5"/>
    <w:rsid w:val="006E44FE"/>
    <w:rsid w:val="006E48E4"/>
    <w:rsid w:val="006E6BF3"/>
    <w:rsid w:val="006E6DDC"/>
    <w:rsid w:val="006E7FA9"/>
    <w:rsid w:val="006F18FF"/>
    <w:rsid w:val="006F1D5B"/>
    <w:rsid w:val="006F2A47"/>
    <w:rsid w:val="006F2F97"/>
    <w:rsid w:val="006F3045"/>
    <w:rsid w:val="006F318D"/>
    <w:rsid w:val="006F31A7"/>
    <w:rsid w:val="006F49B9"/>
    <w:rsid w:val="006F569C"/>
    <w:rsid w:val="006F5A4D"/>
    <w:rsid w:val="006F5DFC"/>
    <w:rsid w:val="006F670F"/>
    <w:rsid w:val="006F6EB7"/>
    <w:rsid w:val="006F6FB3"/>
    <w:rsid w:val="006F7436"/>
    <w:rsid w:val="00700018"/>
    <w:rsid w:val="007001DB"/>
    <w:rsid w:val="00700771"/>
    <w:rsid w:val="00701109"/>
    <w:rsid w:val="00701AED"/>
    <w:rsid w:val="00704756"/>
    <w:rsid w:val="00704C55"/>
    <w:rsid w:val="00705EBE"/>
    <w:rsid w:val="007130CA"/>
    <w:rsid w:val="0071394F"/>
    <w:rsid w:val="00714622"/>
    <w:rsid w:val="007150C1"/>
    <w:rsid w:val="00715C51"/>
    <w:rsid w:val="0071759F"/>
    <w:rsid w:val="007207CD"/>
    <w:rsid w:val="007226C2"/>
    <w:rsid w:val="00723F92"/>
    <w:rsid w:val="00724067"/>
    <w:rsid w:val="00726230"/>
    <w:rsid w:val="00726A78"/>
    <w:rsid w:val="00726BEE"/>
    <w:rsid w:val="0072702B"/>
    <w:rsid w:val="007270DB"/>
    <w:rsid w:val="00727EE6"/>
    <w:rsid w:val="007305AB"/>
    <w:rsid w:val="00730C11"/>
    <w:rsid w:val="00731E78"/>
    <w:rsid w:val="0073283F"/>
    <w:rsid w:val="0073338A"/>
    <w:rsid w:val="00733516"/>
    <w:rsid w:val="00733F9E"/>
    <w:rsid w:val="00734E7C"/>
    <w:rsid w:val="00735C54"/>
    <w:rsid w:val="00736297"/>
    <w:rsid w:val="00736C0C"/>
    <w:rsid w:val="00736C7A"/>
    <w:rsid w:val="00740A6C"/>
    <w:rsid w:val="00740C9C"/>
    <w:rsid w:val="00740E50"/>
    <w:rsid w:val="0074185B"/>
    <w:rsid w:val="0074193C"/>
    <w:rsid w:val="00742545"/>
    <w:rsid w:val="00742765"/>
    <w:rsid w:val="00743944"/>
    <w:rsid w:val="00743DD0"/>
    <w:rsid w:val="00746114"/>
    <w:rsid w:val="007470AF"/>
    <w:rsid w:val="0074764C"/>
    <w:rsid w:val="00750211"/>
    <w:rsid w:val="007502E7"/>
    <w:rsid w:val="00750300"/>
    <w:rsid w:val="00750E1D"/>
    <w:rsid w:val="00751856"/>
    <w:rsid w:val="0075277C"/>
    <w:rsid w:val="00752F4D"/>
    <w:rsid w:val="0075423B"/>
    <w:rsid w:val="007547C6"/>
    <w:rsid w:val="00755FFC"/>
    <w:rsid w:val="007566A4"/>
    <w:rsid w:val="00757730"/>
    <w:rsid w:val="00757D1F"/>
    <w:rsid w:val="00760624"/>
    <w:rsid w:val="00760C34"/>
    <w:rsid w:val="007627FB"/>
    <w:rsid w:val="00762A9B"/>
    <w:rsid w:val="0076397D"/>
    <w:rsid w:val="00764D42"/>
    <w:rsid w:val="00765D03"/>
    <w:rsid w:val="007661B4"/>
    <w:rsid w:val="007676CE"/>
    <w:rsid w:val="00767CBE"/>
    <w:rsid w:val="007701FE"/>
    <w:rsid w:val="0077079C"/>
    <w:rsid w:val="00770949"/>
    <w:rsid w:val="007715A8"/>
    <w:rsid w:val="00771A8F"/>
    <w:rsid w:val="00772B44"/>
    <w:rsid w:val="00772BD7"/>
    <w:rsid w:val="00773025"/>
    <w:rsid w:val="00773343"/>
    <w:rsid w:val="00773D36"/>
    <w:rsid w:val="00774110"/>
    <w:rsid w:val="007745D7"/>
    <w:rsid w:val="007748E8"/>
    <w:rsid w:val="007752FF"/>
    <w:rsid w:val="00776639"/>
    <w:rsid w:val="00776F5C"/>
    <w:rsid w:val="007802CF"/>
    <w:rsid w:val="0078112F"/>
    <w:rsid w:val="00782DA5"/>
    <w:rsid w:val="00782F3B"/>
    <w:rsid w:val="007833BC"/>
    <w:rsid w:val="00783B81"/>
    <w:rsid w:val="00784793"/>
    <w:rsid w:val="007858DD"/>
    <w:rsid w:val="00786F24"/>
    <w:rsid w:val="007870E4"/>
    <w:rsid w:val="00791E6E"/>
    <w:rsid w:val="0079252F"/>
    <w:rsid w:val="007926EE"/>
    <w:rsid w:val="00792B8E"/>
    <w:rsid w:val="00793CEC"/>
    <w:rsid w:val="00794A6F"/>
    <w:rsid w:val="00794BE6"/>
    <w:rsid w:val="00795D2D"/>
    <w:rsid w:val="0079646F"/>
    <w:rsid w:val="00796652"/>
    <w:rsid w:val="00796AA6"/>
    <w:rsid w:val="00796BF2"/>
    <w:rsid w:val="00797F72"/>
    <w:rsid w:val="007A0132"/>
    <w:rsid w:val="007A0580"/>
    <w:rsid w:val="007A0EF7"/>
    <w:rsid w:val="007A2231"/>
    <w:rsid w:val="007A24D9"/>
    <w:rsid w:val="007A4CD8"/>
    <w:rsid w:val="007A505C"/>
    <w:rsid w:val="007A551C"/>
    <w:rsid w:val="007A5938"/>
    <w:rsid w:val="007B09C9"/>
    <w:rsid w:val="007B0BC6"/>
    <w:rsid w:val="007B1017"/>
    <w:rsid w:val="007B239B"/>
    <w:rsid w:val="007B2FDC"/>
    <w:rsid w:val="007B43E9"/>
    <w:rsid w:val="007B4571"/>
    <w:rsid w:val="007B4FF4"/>
    <w:rsid w:val="007B5678"/>
    <w:rsid w:val="007B5AA1"/>
    <w:rsid w:val="007B64BC"/>
    <w:rsid w:val="007B66B8"/>
    <w:rsid w:val="007B6AEC"/>
    <w:rsid w:val="007B700C"/>
    <w:rsid w:val="007B7085"/>
    <w:rsid w:val="007B70AD"/>
    <w:rsid w:val="007B7AE2"/>
    <w:rsid w:val="007C0061"/>
    <w:rsid w:val="007C0694"/>
    <w:rsid w:val="007C06E4"/>
    <w:rsid w:val="007C10D0"/>
    <w:rsid w:val="007C2058"/>
    <w:rsid w:val="007C27E8"/>
    <w:rsid w:val="007C2F18"/>
    <w:rsid w:val="007C351D"/>
    <w:rsid w:val="007C35C3"/>
    <w:rsid w:val="007C39EA"/>
    <w:rsid w:val="007C57AE"/>
    <w:rsid w:val="007C5A17"/>
    <w:rsid w:val="007C60E2"/>
    <w:rsid w:val="007C659B"/>
    <w:rsid w:val="007D0466"/>
    <w:rsid w:val="007D08B9"/>
    <w:rsid w:val="007D126B"/>
    <w:rsid w:val="007D17FA"/>
    <w:rsid w:val="007D1A0D"/>
    <w:rsid w:val="007D38C5"/>
    <w:rsid w:val="007D4CFB"/>
    <w:rsid w:val="007D4E49"/>
    <w:rsid w:val="007D5FBC"/>
    <w:rsid w:val="007D6EB3"/>
    <w:rsid w:val="007D793C"/>
    <w:rsid w:val="007E061C"/>
    <w:rsid w:val="007E0E9A"/>
    <w:rsid w:val="007E0FA2"/>
    <w:rsid w:val="007E2A27"/>
    <w:rsid w:val="007E2D55"/>
    <w:rsid w:val="007E4C81"/>
    <w:rsid w:val="007E4EC4"/>
    <w:rsid w:val="007E56A0"/>
    <w:rsid w:val="007E59DC"/>
    <w:rsid w:val="007E5B6F"/>
    <w:rsid w:val="007E5EF6"/>
    <w:rsid w:val="007E6A8B"/>
    <w:rsid w:val="007F02FF"/>
    <w:rsid w:val="007F059B"/>
    <w:rsid w:val="007F1A09"/>
    <w:rsid w:val="007F2062"/>
    <w:rsid w:val="007F346C"/>
    <w:rsid w:val="007F46AE"/>
    <w:rsid w:val="007F4AB9"/>
    <w:rsid w:val="007F51A7"/>
    <w:rsid w:val="007F6341"/>
    <w:rsid w:val="007F64BA"/>
    <w:rsid w:val="007F67E5"/>
    <w:rsid w:val="007F68C7"/>
    <w:rsid w:val="007F7325"/>
    <w:rsid w:val="00800B44"/>
    <w:rsid w:val="00801220"/>
    <w:rsid w:val="00801B94"/>
    <w:rsid w:val="00801BDD"/>
    <w:rsid w:val="00802C75"/>
    <w:rsid w:val="0080301A"/>
    <w:rsid w:val="00806463"/>
    <w:rsid w:val="00806D42"/>
    <w:rsid w:val="00807848"/>
    <w:rsid w:val="00807A07"/>
    <w:rsid w:val="00807B78"/>
    <w:rsid w:val="008100D1"/>
    <w:rsid w:val="00811872"/>
    <w:rsid w:val="0081282A"/>
    <w:rsid w:val="00812D53"/>
    <w:rsid w:val="00812DF4"/>
    <w:rsid w:val="00813B3A"/>
    <w:rsid w:val="0081436E"/>
    <w:rsid w:val="00814760"/>
    <w:rsid w:val="008155DC"/>
    <w:rsid w:val="00815E30"/>
    <w:rsid w:val="0081688E"/>
    <w:rsid w:val="00816C18"/>
    <w:rsid w:val="00816DB7"/>
    <w:rsid w:val="0081737F"/>
    <w:rsid w:val="008173FE"/>
    <w:rsid w:val="00821794"/>
    <w:rsid w:val="00823458"/>
    <w:rsid w:val="008246EA"/>
    <w:rsid w:val="00824B05"/>
    <w:rsid w:val="00825144"/>
    <w:rsid w:val="0082572F"/>
    <w:rsid w:val="00825F65"/>
    <w:rsid w:val="008271CE"/>
    <w:rsid w:val="00827263"/>
    <w:rsid w:val="008275D2"/>
    <w:rsid w:val="008279E6"/>
    <w:rsid w:val="00827DA8"/>
    <w:rsid w:val="00831000"/>
    <w:rsid w:val="0083131F"/>
    <w:rsid w:val="008317A0"/>
    <w:rsid w:val="00831DBB"/>
    <w:rsid w:val="00831E9B"/>
    <w:rsid w:val="008328A8"/>
    <w:rsid w:val="00832B5D"/>
    <w:rsid w:val="00833393"/>
    <w:rsid w:val="008333FD"/>
    <w:rsid w:val="0083390D"/>
    <w:rsid w:val="00835B05"/>
    <w:rsid w:val="00835ECC"/>
    <w:rsid w:val="008360D0"/>
    <w:rsid w:val="00836538"/>
    <w:rsid w:val="00836689"/>
    <w:rsid w:val="00841B46"/>
    <w:rsid w:val="00841B92"/>
    <w:rsid w:val="00841EF9"/>
    <w:rsid w:val="0084214B"/>
    <w:rsid w:val="008441F3"/>
    <w:rsid w:val="00844CCC"/>
    <w:rsid w:val="0084536B"/>
    <w:rsid w:val="00845894"/>
    <w:rsid w:val="00845C7A"/>
    <w:rsid w:val="008466F3"/>
    <w:rsid w:val="0084680A"/>
    <w:rsid w:val="00846846"/>
    <w:rsid w:val="00846ADE"/>
    <w:rsid w:val="008471D6"/>
    <w:rsid w:val="00847400"/>
    <w:rsid w:val="008500F7"/>
    <w:rsid w:val="0085013E"/>
    <w:rsid w:val="0085037C"/>
    <w:rsid w:val="008508AD"/>
    <w:rsid w:val="008509F0"/>
    <w:rsid w:val="00850BF3"/>
    <w:rsid w:val="008511EB"/>
    <w:rsid w:val="00852E43"/>
    <w:rsid w:val="008533F1"/>
    <w:rsid w:val="00853463"/>
    <w:rsid w:val="0085352B"/>
    <w:rsid w:val="0085529A"/>
    <w:rsid w:val="008557D1"/>
    <w:rsid w:val="00856167"/>
    <w:rsid w:val="008566C8"/>
    <w:rsid w:val="00856BDE"/>
    <w:rsid w:val="00856C7B"/>
    <w:rsid w:val="00861E0B"/>
    <w:rsid w:val="00862646"/>
    <w:rsid w:val="00862C7D"/>
    <w:rsid w:val="00863201"/>
    <w:rsid w:val="008633BA"/>
    <w:rsid w:val="00864263"/>
    <w:rsid w:val="00864A63"/>
    <w:rsid w:val="00866C91"/>
    <w:rsid w:val="00867740"/>
    <w:rsid w:val="008679DC"/>
    <w:rsid w:val="00870081"/>
    <w:rsid w:val="008706DD"/>
    <w:rsid w:val="0087104F"/>
    <w:rsid w:val="0087157E"/>
    <w:rsid w:val="00871C87"/>
    <w:rsid w:val="00872004"/>
    <w:rsid w:val="00872225"/>
    <w:rsid w:val="008725F5"/>
    <w:rsid w:val="008734FB"/>
    <w:rsid w:val="00875C01"/>
    <w:rsid w:val="008761A6"/>
    <w:rsid w:val="0087657F"/>
    <w:rsid w:val="00876E80"/>
    <w:rsid w:val="008770AC"/>
    <w:rsid w:val="00877A8E"/>
    <w:rsid w:val="00877ADE"/>
    <w:rsid w:val="00880127"/>
    <w:rsid w:val="00880C0B"/>
    <w:rsid w:val="00881180"/>
    <w:rsid w:val="00881D7D"/>
    <w:rsid w:val="008825D8"/>
    <w:rsid w:val="00882D8D"/>
    <w:rsid w:val="00884868"/>
    <w:rsid w:val="00884E68"/>
    <w:rsid w:val="008852EA"/>
    <w:rsid w:val="0088609D"/>
    <w:rsid w:val="008864F8"/>
    <w:rsid w:val="0088702C"/>
    <w:rsid w:val="008876BA"/>
    <w:rsid w:val="0089045F"/>
    <w:rsid w:val="00892035"/>
    <w:rsid w:val="00893307"/>
    <w:rsid w:val="00893B05"/>
    <w:rsid w:val="008948FE"/>
    <w:rsid w:val="00894DC5"/>
    <w:rsid w:val="00895369"/>
    <w:rsid w:val="00895640"/>
    <w:rsid w:val="00896F3F"/>
    <w:rsid w:val="00897791"/>
    <w:rsid w:val="00897BE5"/>
    <w:rsid w:val="00897EB4"/>
    <w:rsid w:val="00897FDE"/>
    <w:rsid w:val="008A162B"/>
    <w:rsid w:val="008A1910"/>
    <w:rsid w:val="008A31C2"/>
    <w:rsid w:val="008A34B8"/>
    <w:rsid w:val="008A36AA"/>
    <w:rsid w:val="008A3826"/>
    <w:rsid w:val="008A4116"/>
    <w:rsid w:val="008A417A"/>
    <w:rsid w:val="008A441D"/>
    <w:rsid w:val="008A47E1"/>
    <w:rsid w:val="008A4886"/>
    <w:rsid w:val="008A48DC"/>
    <w:rsid w:val="008A4A70"/>
    <w:rsid w:val="008A50D2"/>
    <w:rsid w:val="008A5315"/>
    <w:rsid w:val="008A5734"/>
    <w:rsid w:val="008A5767"/>
    <w:rsid w:val="008A654A"/>
    <w:rsid w:val="008A659B"/>
    <w:rsid w:val="008A791E"/>
    <w:rsid w:val="008B1845"/>
    <w:rsid w:val="008B22D8"/>
    <w:rsid w:val="008B27D7"/>
    <w:rsid w:val="008B35F1"/>
    <w:rsid w:val="008B4224"/>
    <w:rsid w:val="008B42ED"/>
    <w:rsid w:val="008B455D"/>
    <w:rsid w:val="008B53CE"/>
    <w:rsid w:val="008B5755"/>
    <w:rsid w:val="008B6160"/>
    <w:rsid w:val="008B61E0"/>
    <w:rsid w:val="008B6817"/>
    <w:rsid w:val="008B69D7"/>
    <w:rsid w:val="008B76D1"/>
    <w:rsid w:val="008B7760"/>
    <w:rsid w:val="008B7F81"/>
    <w:rsid w:val="008C1F99"/>
    <w:rsid w:val="008C2991"/>
    <w:rsid w:val="008C2CA1"/>
    <w:rsid w:val="008C2D22"/>
    <w:rsid w:val="008C3937"/>
    <w:rsid w:val="008C3D5A"/>
    <w:rsid w:val="008C4225"/>
    <w:rsid w:val="008C44CB"/>
    <w:rsid w:val="008C5355"/>
    <w:rsid w:val="008C5B54"/>
    <w:rsid w:val="008C6071"/>
    <w:rsid w:val="008C611F"/>
    <w:rsid w:val="008C64C3"/>
    <w:rsid w:val="008D0BC1"/>
    <w:rsid w:val="008D1D4B"/>
    <w:rsid w:val="008D275D"/>
    <w:rsid w:val="008D2794"/>
    <w:rsid w:val="008D2A63"/>
    <w:rsid w:val="008D2B6C"/>
    <w:rsid w:val="008D2C2D"/>
    <w:rsid w:val="008D320A"/>
    <w:rsid w:val="008D3444"/>
    <w:rsid w:val="008D4A81"/>
    <w:rsid w:val="008D4C4C"/>
    <w:rsid w:val="008D5678"/>
    <w:rsid w:val="008D5B36"/>
    <w:rsid w:val="008D5CB5"/>
    <w:rsid w:val="008D68F0"/>
    <w:rsid w:val="008D7A10"/>
    <w:rsid w:val="008E000C"/>
    <w:rsid w:val="008E0092"/>
    <w:rsid w:val="008E10F6"/>
    <w:rsid w:val="008E157B"/>
    <w:rsid w:val="008E18BB"/>
    <w:rsid w:val="008E21B4"/>
    <w:rsid w:val="008E23C4"/>
    <w:rsid w:val="008E2D2B"/>
    <w:rsid w:val="008E2E2E"/>
    <w:rsid w:val="008E2E64"/>
    <w:rsid w:val="008E3CAC"/>
    <w:rsid w:val="008E485D"/>
    <w:rsid w:val="008E53F3"/>
    <w:rsid w:val="008E586F"/>
    <w:rsid w:val="008E58E9"/>
    <w:rsid w:val="008E5D5E"/>
    <w:rsid w:val="008E6A30"/>
    <w:rsid w:val="008E7774"/>
    <w:rsid w:val="008F054E"/>
    <w:rsid w:val="008F0766"/>
    <w:rsid w:val="008F0903"/>
    <w:rsid w:val="008F0B4E"/>
    <w:rsid w:val="008F105E"/>
    <w:rsid w:val="008F2D5F"/>
    <w:rsid w:val="008F3669"/>
    <w:rsid w:val="008F39F9"/>
    <w:rsid w:val="008F3A99"/>
    <w:rsid w:val="008F3B7C"/>
    <w:rsid w:val="008F402B"/>
    <w:rsid w:val="008F42A5"/>
    <w:rsid w:val="008F566A"/>
    <w:rsid w:val="008F5E67"/>
    <w:rsid w:val="008F7905"/>
    <w:rsid w:val="009005BA"/>
    <w:rsid w:val="00901363"/>
    <w:rsid w:val="00901D0E"/>
    <w:rsid w:val="00901D30"/>
    <w:rsid w:val="009022B5"/>
    <w:rsid w:val="009028A8"/>
    <w:rsid w:val="00903171"/>
    <w:rsid w:val="00904747"/>
    <w:rsid w:val="00904B7F"/>
    <w:rsid w:val="00904CFB"/>
    <w:rsid w:val="00905D4B"/>
    <w:rsid w:val="00906872"/>
    <w:rsid w:val="00907480"/>
    <w:rsid w:val="0090760D"/>
    <w:rsid w:val="00907C39"/>
    <w:rsid w:val="0091005A"/>
    <w:rsid w:val="00910222"/>
    <w:rsid w:val="00910307"/>
    <w:rsid w:val="00910C7D"/>
    <w:rsid w:val="00911AC7"/>
    <w:rsid w:val="00912070"/>
    <w:rsid w:val="00912137"/>
    <w:rsid w:val="00912615"/>
    <w:rsid w:val="0091353B"/>
    <w:rsid w:val="00913C00"/>
    <w:rsid w:val="00914F47"/>
    <w:rsid w:val="00916968"/>
    <w:rsid w:val="00916E80"/>
    <w:rsid w:val="00917185"/>
    <w:rsid w:val="009178C8"/>
    <w:rsid w:val="00921E42"/>
    <w:rsid w:val="009226EC"/>
    <w:rsid w:val="00923A85"/>
    <w:rsid w:val="00924CA8"/>
    <w:rsid w:val="00924DE7"/>
    <w:rsid w:val="00924E33"/>
    <w:rsid w:val="00925023"/>
    <w:rsid w:val="00925083"/>
    <w:rsid w:val="00926BCF"/>
    <w:rsid w:val="009276EE"/>
    <w:rsid w:val="00927B23"/>
    <w:rsid w:val="00930161"/>
    <w:rsid w:val="00930375"/>
    <w:rsid w:val="009309B7"/>
    <w:rsid w:val="00930AC4"/>
    <w:rsid w:val="00930D15"/>
    <w:rsid w:val="00931F95"/>
    <w:rsid w:val="00932E5D"/>
    <w:rsid w:val="00932F88"/>
    <w:rsid w:val="0093320D"/>
    <w:rsid w:val="009336BB"/>
    <w:rsid w:val="009349B0"/>
    <w:rsid w:val="00936A7E"/>
    <w:rsid w:val="009408FD"/>
    <w:rsid w:val="00942D9C"/>
    <w:rsid w:val="00943475"/>
    <w:rsid w:val="00943B25"/>
    <w:rsid w:val="00943EAF"/>
    <w:rsid w:val="00944619"/>
    <w:rsid w:val="00947393"/>
    <w:rsid w:val="00947BBE"/>
    <w:rsid w:val="00950BED"/>
    <w:rsid w:val="00950C78"/>
    <w:rsid w:val="00950DCB"/>
    <w:rsid w:val="00950F01"/>
    <w:rsid w:val="0095100F"/>
    <w:rsid w:val="009512E7"/>
    <w:rsid w:val="009516BE"/>
    <w:rsid w:val="00952CAF"/>
    <w:rsid w:val="00953127"/>
    <w:rsid w:val="009537AD"/>
    <w:rsid w:val="009537E9"/>
    <w:rsid w:val="00953B37"/>
    <w:rsid w:val="00954634"/>
    <w:rsid w:val="00957490"/>
    <w:rsid w:val="00957785"/>
    <w:rsid w:val="0096173A"/>
    <w:rsid w:val="00961A4F"/>
    <w:rsid w:val="00962197"/>
    <w:rsid w:val="0096362A"/>
    <w:rsid w:val="00964772"/>
    <w:rsid w:val="00964E94"/>
    <w:rsid w:val="009652A3"/>
    <w:rsid w:val="009661ED"/>
    <w:rsid w:val="00967E7D"/>
    <w:rsid w:val="00973A91"/>
    <w:rsid w:val="00974203"/>
    <w:rsid w:val="0097539C"/>
    <w:rsid w:val="00975A3A"/>
    <w:rsid w:val="009773EE"/>
    <w:rsid w:val="009800D4"/>
    <w:rsid w:val="0098025E"/>
    <w:rsid w:val="00980606"/>
    <w:rsid w:val="00980A8B"/>
    <w:rsid w:val="00981B06"/>
    <w:rsid w:val="00982992"/>
    <w:rsid w:val="009834A2"/>
    <w:rsid w:val="0098396B"/>
    <w:rsid w:val="00984876"/>
    <w:rsid w:val="00985AA6"/>
    <w:rsid w:val="0098696A"/>
    <w:rsid w:val="009909C8"/>
    <w:rsid w:val="00990CE6"/>
    <w:rsid w:val="00990D7B"/>
    <w:rsid w:val="00991230"/>
    <w:rsid w:val="00991291"/>
    <w:rsid w:val="00991F04"/>
    <w:rsid w:val="00991F39"/>
    <w:rsid w:val="0099280B"/>
    <w:rsid w:val="00992DCA"/>
    <w:rsid w:val="009931DC"/>
    <w:rsid w:val="0099324C"/>
    <w:rsid w:val="00993691"/>
    <w:rsid w:val="0099390C"/>
    <w:rsid w:val="00993A46"/>
    <w:rsid w:val="00993DA9"/>
    <w:rsid w:val="009943D5"/>
    <w:rsid w:val="00994A3E"/>
    <w:rsid w:val="00994B7D"/>
    <w:rsid w:val="00994C08"/>
    <w:rsid w:val="0099540E"/>
    <w:rsid w:val="009963CA"/>
    <w:rsid w:val="009972D1"/>
    <w:rsid w:val="00997562"/>
    <w:rsid w:val="009A20EB"/>
    <w:rsid w:val="009A22BC"/>
    <w:rsid w:val="009A291C"/>
    <w:rsid w:val="009A2A57"/>
    <w:rsid w:val="009A2A83"/>
    <w:rsid w:val="009A319C"/>
    <w:rsid w:val="009A484A"/>
    <w:rsid w:val="009A53C2"/>
    <w:rsid w:val="009A5947"/>
    <w:rsid w:val="009A5B8D"/>
    <w:rsid w:val="009A5E10"/>
    <w:rsid w:val="009A6997"/>
    <w:rsid w:val="009A6F47"/>
    <w:rsid w:val="009A710E"/>
    <w:rsid w:val="009A732D"/>
    <w:rsid w:val="009B13C2"/>
    <w:rsid w:val="009B17F6"/>
    <w:rsid w:val="009B199C"/>
    <w:rsid w:val="009B1FC6"/>
    <w:rsid w:val="009B396C"/>
    <w:rsid w:val="009B40C4"/>
    <w:rsid w:val="009B48CF"/>
    <w:rsid w:val="009B5377"/>
    <w:rsid w:val="009B60FF"/>
    <w:rsid w:val="009B6413"/>
    <w:rsid w:val="009B673B"/>
    <w:rsid w:val="009B6DA8"/>
    <w:rsid w:val="009C0283"/>
    <w:rsid w:val="009C0CA6"/>
    <w:rsid w:val="009C0CF0"/>
    <w:rsid w:val="009C0D16"/>
    <w:rsid w:val="009C0D71"/>
    <w:rsid w:val="009C0EFF"/>
    <w:rsid w:val="009C12A0"/>
    <w:rsid w:val="009C1D68"/>
    <w:rsid w:val="009C1E7B"/>
    <w:rsid w:val="009C2CE0"/>
    <w:rsid w:val="009C442E"/>
    <w:rsid w:val="009C4676"/>
    <w:rsid w:val="009C4FF3"/>
    <w:rsid w:val="009C7AE8"/>
    <w:rsid w:val="009C7B26"/>
    <w:rsid w:val="009D056D"/>
    <w:rsid w:val="009D0FFC"/>
    <w:rsid w:val="009D29F3"/>
    <w:rsid w:val="009D2A3B"/>
    <w:rsid w:val="009D32D2"/>
    <w:rsid w:val="009D38B3"/>
    <w:rsid w:val="009D4253"/>
    <w:rsid w:val="009D44EC"/>
    <w:rsid w:val="009D720A"/>
    <w:rsid w:val="009E0278"/>
    <w:rsid w:val="009E0B0C"/>
    <w:rsid w:val="009E1653"/>
    <w:rsid w:val="009E1900"/>
    <w:rsid w:val="009E1BC6"/>
    <w:rsid w:val="009E1CF3"/>
    <w:rsid w:val="009E2030"/>
    <w:rsid w:val="009E5649"/>
    <w:rsid w:val="009E567C"/>
    <w:rsid w:val="009E5FE6"/>
    <w:rsid w:val="009E6C75"/>
    <w:rsid w:val="009E6C88"/>
    <w:rsid w:val="009E79D2"/>
    <w:rsid w:val="009E7CF8"/>
    <w:rsid w:val="009F070E"/>
    <w:rsid w:val="009F1EBA"/>
    <w:rsid w:val="009F3E0B"/>
    <w:rsid w:val="009F46DD"/>
    <w:rsid w:val="009F4955"/>
    <w:rsid w:val="009F495D"/>
    <w:rsid w:val="009F498C"/>
    <w:rsid w:val="009F59E8"/>
    <w:rsid w:val="009F5E6F"/>
    <w:rsid w:val="009F68AD"/>
    <w:rsid w:val="009F7211"/>
    <w:rsid w:val="009F7A59"/>
    <w:rsid w:val="009F7D07"/>
    <w:rsid w:val="00A000E3"/>
    <w:rsid w:val="00A018D0"/>
    <w:rsid w:val="00A01A17"/>
    <w:rsid w:val="00A02909"/>
    <w:rsid w:val="00A02955"/>
    <w:rsid w:val="00A02F70"/>
    <w:rsid w:val="00A0391D"/>
    <w:rsid w:val="00A03EAE"/>
    <w:rsid w:val="00A03F73"/>
    <w:rsid w:val="00A04113"/>
    <w:rsid w:val="00A0547D"/>
    <w:rsid w:val="00A067EA"/>
    <w:rsid w:val="00A0690B"/>
    <w:rsid w:val="00A06FA4"/>
    <w:rsid w:val="00A0799B"/>
    <w:rsid w:val="00A10423"/>
    <w:rsid w:val="00A1175E"/>
    <w:rsid w:val="00A1334E"/>
    <w:rsid w:val="00A13915"/>
    <w:rsid w:val="00A1397C"/>
    <w:rsid w:val="00A13D66"/>
    <w:rsid w:val="00A13F42"/>
    <w:rsid w:val="00A14D80"/>
    <w:rsid w:val="00A159E6"/>
    <w:rsid w:val="00A16901"/>
    <w:rsid w:val="00A1763F"/>
    <w:rsid w:val="00A20EA5"/>
    <w:rsid w:val="00A20ED7"/>
    <w:rsid w:val="00A212F4"/>
    <w:rsid w:val="00A217F9"/>
    <w:rsid w:val="00A21D7B"/>
    <w:rsid w:val="00A21ED8"/>
    <w:rsid w:val="00A22B73"/>
    <w:rsid w:val="00A22CE3"/>
    <w:rsid w:val="00A23973"/>
    <w:rsid w:val="00A23B8B"/>
    <w:rsid w:val="00A23C11"/>
    <w:rsid w:val="00A2447C"/>
    <w:rsid w:val="00A250E5"/>
    <w:rsid w:val="00A251EA"/>
    <w:rsid w:val="00A2607A"/>
    <w:rsid w:val="00A277FC"/>
    <w:rsid w:val="00A3058D"/>
    <w:rsid w:val="00A30646"/>
    <w:rsid w:val="00A30AC9"/>
    <w:rsid w:val="00A310A8"/>
    <w:rsid w:val="00A313A8"/>
    <w:rsid w:val="00A3155A"/>
    <w:rsid w:val="00A31F56"/>
    <w:rsid w:val="00A32944"/>
    <w:rsid w:val="00A32C52"/>
    <w:rsid w:val="00A334D2"/>
    <w:rsid w:val="00A340B7"/>
    <w:rsid w:val="00A34F16"/>
    <w:rsid w:val="00A35A19"/>
    <w:rsid w:val="00A36015"/>
    <w:rsid w:val="00A36B6C"/>
    <w:rsid w:val="00A3710F"/>
    <w:rsid w:val="00A3780E"/>
    <w:rsid w:val="00A402B4"/>
    <w:rsid w:val="00A40D4B"/>
    <w:rsid w:val="00A40FA1"/>
    <w:rsid w:val="00A4107F"/>
    <w:rsid w:val="00A424A2"/>
    <w:rsid w:val="00A436DF"/>
    <w:rsid w:val="00A4401D"/>
    <w:rsid w:val="00A44DCD"/>
    <w:rsid w:val="00A46609"/>
    <w:rsid w:val="00A47064"/>
    <w:rsid w:val="00A476BF"/>
    <w:rsid w:val="00A479CD"/>
    <w:rsid w:val="00A5018D"/>
    <w:rsid w:val="00A50578"/>
    <w:rsid w:val="00A50BAF"/>
    <w:rsid w:val="00A51AA6"/>
    <w:rsid w:val="00A51EAA"/>
    <w:rsid w:val="00A54767"/>
    <w:rsid w:val="00A5556F"/>
    <w:rsid w:val="00A55971"/>
    <w:rsid w:val="00A560D1"/>
    <w:rsid w:val="00A5669A"/>
    <w:rsid w:val="00A5696A"/>
    <w:rsid w:val="00A56B24"/>
    <w:rsid w:val="00A56C36"/>
    <w:rsid w:val="00A60C3C"/>
    <w:rsid w:val="00A611EB"/>
    <w:rsid w:val="00A61D4D"/>
    <w:rsid w:val="00A6211F"/>
    <w:rsid w:val="00A62326"/>
    <w:rsid w:val="00A627E3"/>
    <w:rsid w:val="00A644DF"/>
    <w:rsid w:val="00A6533F"/>
    <w:rsid w:val="00A654B7"/>
    <w:rsid w:val="00A6557D"/>
    <w:rsid w:val="00A6558E"/>
    <w:rsid w:val="00A65C08"/>
    <w:rsid w:val="00A6609C"/>
    <w:rsid w:val="00A706FB"/>
    <w:rsid w:val="00A70925"/>
    <w:rsid w:val="00A70DE2"/>
    <w:rsid w:val="00A714A3"/>
    <w:rsid w:val="00A715B2"/>
    <w:rsid w:val="00A72B28"/>
    <w:rsid w:val="00A72CAC"/>
    <w:rsid w:val="00A743AB"/>
    <w:rsid w:val="00A74A25"/>
    <w:rsid w:val="00A7591A"/>
    <w:rsid w:val="00A7628A"/>
    <w:rsid w:val="00A76536"/>
    <w:rsid w:val="00A76C37"/>
    <w:rsid w:val="00A77075"/>
    <w:rsid w:val="00A77435"/>
    <w:rsid w:val="00A80A68"/>
    <w:rsid w:val="00A81B05"/>
    <w:rsid w:val="00A82CD3"/>
    <w:rsid w:val="00A8505A"/>
    <w:rsid w:val="00A853DE"/>
    <w:rsid w:val="00A85BAF"/>
    <w:rsid w:val="00A85EFE"/>
    <w:rsid w:val="00A867C5"/>
    <w:rsid w:val="00A872B4"/>
    <w:rsid w:val="00A8787E"/>
    <w:rsid w:val="00A87ACF"/>
    <w:rsid w:val="00A87E8A"/>
    <w:rsid w:val="00A90872"/>
    <w:rsid w:val="00A90D24"/>
    <w:rsid w:val="00A91072"/>
    <w:rsid w:val="00A916ED"/>
    <w:rsid w:val="00A9182A"/>
    <w:rsid w:val="00A920D1"/>
    <w:rsid w:val="00A926D4"/>
    <w:rsid w:val="00A926D8"/>
    <w:rsid w:val="00A92AEB"/>
    <w:rsid w:val="00A93437"/>
    <w:rsid w:val="00A93679"/>
    <w:rsid w:val="00A9416F"/>
    <w:rsid w:val="00A946E3"/>
    <w:rsid w:val="00A949CD"/>
    <w:rsid w:val="00A950BB"/>
    <w:rsid w:val="00A966F2"/>
    <w:rsid w:val="00A96DCC"/>
    <w:rsid w:val="00A973C5"/>
    <w:rsid w:val="00AA0189"/>
    <w:rsid w:val="00AA06BC"/>
    <w:rsid w:val="00AA1509"/>
    <w:rsid w:val="00AA1734"/>
    <w:rsid w:val="00AA1C81"/>
    <w:rsid w:val="00AA2892"/>
    <w:rsid w:val="00AA328B"/>
    <w:rsid w:val="00AA3779"/>
    <w:rsid w:val="00AA6DF0"/>
    <w:rsid w:val="00AA7261"/>
    <w:rsid w:val="00AA7DCC"/>
    <w:rsid w:val="00AB0427"/>
    <w:rsid w:val="00AB05A5"/>
    <w:rsid w:val="00AB1205"/>
    <w:rsid w:val="00AB1C6E"/>
    <w:rsid w:val="00AB2343"/>
    <w:rsid w:val="00AB23AE"/>
    <w:rsid w:val="00AB2B60"/>
    <w:rsid w:val="00AB3019"/>
    <w:rsid w:val="00AB329E"/>
    <w:rsid w:val="00AB350B"/>
    <w:rsid w:val="00AB38E9"/>
    <w:rsid w:val="00AB39B3"/>
    <w:rsid w:val="00AB3BA7"/>
    <w:rsid w:val="00AB4ABF"/>
    <w:rsid w:val="00AB55CB"/>
    <w:rsid w:val="00AB6949"/>
    <w:rsid w:val="00AB7218"/>
    <w:rsid w:val="00AC0012"/>
    <w:rsid w:val="00AC08CE"/>
    <w:rsid w:val="00AC0CF1"/>
    <w:rsid w:val="00AC2632"/>
    <w:rsid w:val="00AC38D5"/>
    <w:rsid w:val="00AC3BF1"/>
    <w:rsid w:val="00AC4551"/>
    <w:rsid w:val="00AC4C47"/>
    <w:rsid w:val="00AC5352"/>
    <w:rsid w:val="00AC5479"/>
    <w:rsid w:val="00AC6594"/>
    <w:rsid w:val="00AC677B"/>
    <w:rsid w:val="00AC7111"/>
    <w:rsid w:val="00AC7143"/>
    <w:rsid w:val="00AC7708"/>
    <w:rsid w:val="00AD0696"/>
    <w:rsid w:val="00AD09F9"/>
    <w:rsid w:val="00AD19C0"/>
    <w:rsid w:val="00AD1F06"/>
    <w:rsid w:val="00AD2AC5"/>
    <w:rsid w:val="00AD3340"/>
    <w:rsid w:val="00AD3B68"/>
    <w:rsid w:val="00AD3BA7"/>
    <w:rsid w:val="00AD3DEC"/>
    <w:rsid w:val="00AD4E62"/>
    <w:rsid w:val="00AD5B05"/>
    <w:rsid w:val="00AD5C04"/>
    <w:rsid w:val="00AD613F"/>
    <w:rsid w:val="00AD6C96"/>
    <w:rsid w:val="00AD6E5B"/>
    <w:rsid w:val="00AD724F"/>
    <w:rsid w:val="00AD77ED"/>
    <w:rsid w:val="00AD7B52"/>
    <w:rsid w:val="00AD7D7B"/>
    <w:rsid w:val="00AE074A"/>
    <w:rsid w:val="00AE2848"/>
    <w:rsid w:val="00AE2DC8"/>
    <w:rsid w:val="00AE31AB"/>
    <w:rsid w:val="00AE3C6A"/>
    <w:rsid w:val="00AE3D78"/>
    <w:rsid w:val="00AE3EF4"/>
    <w:rsid w:val="00AE57F1"/>
    <w:rsid w:val="00AE64BA"/>
    <w:rsid w:val="00AE6B29"/>
    <w:rsid w:val="00AE7005"/>
    <w:rsid w:val="00AE7E07"/>
    <w:rsid w:val="00AF0B1A"/>
    <w:rsid w:val="00AF1899"/>
    <w:rsid w:val="00AF1BB8"/>
    <w:rsid w:val="00AF221E"/>
    <w:rsid w:val="00AF274C"/>
    <w:rsid w:val="00AF2E08"/>
    <w:rsid w:val="00AF3301"/>
    <w:rsid w:val="00AF44FF"/>
    <w:rsid w:val="00AF5203"/>
    <w:rsid w:val="00AF56CA"/>
    <w:rsid w:val="00AF59D8"/>
    <w:rsid w:val="00AF6752"/>
    <w:rsid w:val="00B008A5"/>
    <w:rsid w:val="00B00A22"/>
    <w:rsid w:val="00B00D15"/>
    <w:rsid w:val="00B00ED3"/>
    <w:rsid w:val="00B00F48"/>
    <w:rsid w:val="00B018AA"/>
    <w:rsid w:val="00B02272"/>
    <w:rsid w:val="00B024C4"/>
    <w:rsid w:val="00B03658"/>
    <w:rsid w:val="00B03735"/>
    <w:rsid w:val="00B03787"/>
    <w:rsid w:val="00B03A55"/>
    <w:rsid w:val="00B043CE"/>
    <w:rsid w:val="00B0451F"/>
    <w:rsid w:val="00B04B15"/>
    <w:rsid w:val="00B06028"/>
    <w:rsid w:val="00B06112"/>
    <w:rsid w:val="00B06698"/>
    <w:rsid w:val="00B06E3E"/>
    <w:rsid w:val="00B073AC"/>
    <w:rsid w:val="00B07630"/>
    <w:rsid w:val="00B07B1C"/>
    <w:rsid w:val="00B07D8F"/>
    <w:rsid w:val="00B1036B"/>
    <w:rsid w:val="00B1042B"/>
    <w:rsid w:val="00B10849"/>
    <w:rsid w:val="00B10C1E"/>
    <w:rsid w:val="00B1137E"/>
    <w:rsid w:val="00B1154B"/>
    <w:rsid w:val="00B116D4"/>
    <w:rsid w:val="00B118DD"/>
    <w:rsid w:val="00B121EC"/>
    <w:rsid w:val="00B129D5"/>
    <w:rsid w:val="00B131F8"/>
    <w:rsid w:val="00B135CD"/>
    <w:rsid w:val="00B13F0B"/>
    <w:rsid w:val="00B14255"/>
    <w:rsid w:val="00B15323"/>
    <w:rsid w:val="00B16D6F"/>
    <w:rsid w:val="00B1723C"/>
    <w:rsid w:val="00B17C96"/>
    <w:rsid w:val="00B206C5"/>
    <w:rsid w:val="00B2124A"/>
    <w:rsid w:val="00B21DD0"/>
    <w:rsid w:val="00B230CE"/>
    <w:rsid w:val="00B235C7"/>
    <w:rsid w:val="00B23C8F"/>
    <w:rsid w:val="00B259BB"/>
    <w:rsid w:val="00B25B7D"/>
    <w:rsid w:val="00B2760A"/>
    <w:rsid w:val="00B2779C"/>
    <w:rsid w:val="00B27FF6"/>
    <w:rsid w:val="00B30751"/>
    <w:rsid w:val="00B31B37"/>
    <w:rsid w:val="00B32241"/>
    <w:rsid w:val="00B3224A"/>
    <w:rsid w:val="00B32ABC"/>
    <w:rsid w:val="00B3358D"/>
    <w:rsid w:val="00B34463"/>
    <w:rsid w:val="00B356BD"/>
    <w:rsid w:val="00B35700"/>
    <w:rsid w:val="00B35C6B"/>
    <w:rsid w:val="00B35DF7"/>
    <w:rsid w:val="00B35FE4"/>
    <w:rsid w:val="00B36587"/>
    <w:rsid w:val="00B36B52"/>
    <w:rsid w:val="00B36EDD"/>
    <w:rsid w:val="00B375A8"/>
    <w:rsid w:val="00B37BD9"/>
    <w:rsid w:val="00B40EC8"/>
    <w:rsid w:val="00B40F48"/>
    <w:rsid w:val="00B41806"/>
    <w:rsid w:val="00B41A9F"/>
    <w:rsid w:val="00B41DBA"/>
    <w:rsid w:val="00B421CD"/>
    <w:rsid w:val="00B42A17"/>
    <w:rsid w:val="00B42BC7"/>
    <w:rsid w:val="00B42FEA"/>
    <w:rsid w:val="00B44165"/>
    <w:rsid w:val="00B4425A"/>
    <w:rsid w:val="00B448C4"/>
    <w:rsid w:val="00B479AF"/>
    <w:rsid w:val="00B50BBF"/>
    <w:rsid w:val="00B53089"/>
    <w:rsid w:val="00B53496"/>
    <w:rsid w:val="00B53B12"/>
    <w:rsid w:val="00B53EF6"/>
    <w:rsid w:val="00B5512A"/>
    <w:rsid w:val="00B55156"/>
    <w:rsid w:val="00B55C9E"/>
    <w:rsid w:val="00B55F26"/>
    <w:rsid w:val="00B56B88"/>
    <w:rsid w:val="00B60337"/>
    <w:rsid w:val="00B62C29"/>
    <w:rsid w:val="00B63C55"/>
    <w:rsid w:val="00B64277"/>
    <w:rsid w:val="00B6441B"/>
    <w:rsid w:val="00B6525A"/>
    <w:rsid w:val="00B65441"/>
    <w:rsid w:val="00B67772"/>
    <w:rsid w:val="00B70109"/>
    <w:rsid w:val="00B73646"/>
    <w:rsid w:val="00B7555D"/>
    <w:rsid w:val="00B76436"/>
    <w:rsid w:val="00B767F4"/>
    <w:rsid w:val="00B7683E"/>
    <w:rsid w:val="00B76983"/>
    <w:rsid w:val="00B77DEC"/>
    <w:rsid w:val="00B800CF"/>
    <w:rsid w:val="00B80659"/>
    <w:rsid w:val="00B81FEB"/>
    <w:rsid w:val="00B8227F"/>
    <w:rsid w:val="00B83040"/>
    <w:rsid w:val="00B858F9"/>
    <w:rsid w:val="00B85C12"/>
    <w:rsid w:val="00B861C9"/>
    <w:rsid w:val="00B86846"/>
    <w:rsid w:val="00B90593"/>
    <w:rsid w:val="00B90F24"/>
    <w:rsid w:val="00B90F7B"/>
    <w:rsid w:val="00B91251"/>
    <w:rsid w:val="00B919BB"/>
    <w:rsid w:val="00B92572"/>
    <w:rsid w:val="00B92DF3"/>
    <w:rsid w:val="00B93E5F"/>
    <w:rsid w:val="00B94BBA"/>
    <w:rsid w:val="00B95A01"/>
    <w:rsid w:val="00B965B9"/>
    <w:rsid w:val="00B96790"/>
    <w:rsid w:val="00B96CF0"/>
    <w:rsid w:val="00B97153"/>
    <w:rsid w:val="00B9753A"/>
    <w:rsid w:val="00B9796B"/>
    <w:rsid w:val="00BA0243"/>
    <w:rsid w:val="00BA0932"/>
    <w:rsid w:val="00BA1039"/>
    <w:rsid w:val="00BA1A80"/>
    <w:rsid w:val="00BA1FF3"/>
    <w:rsid w:val="00BA278E"/>
    <w:rsid w:val="00BA2A6D"/>
    <w:rsid w:val="00BA4160"/>
    <w:rsid w:val="00BA4569"/>
    <w:rsid w:val="00BA47C9"/>
    <w:rsid w:val="00BA4C11"/>
    <w:rsid w:val="00BA5407"/>
    <w:rsid w:val="00BA59C8"/>
    <w:rsid w:val="00BA5BA5"/>
    <w:rsid w:val="00BA5D57"/>
    <w:rsid w:val="00BA62C1"/>
    <w:rsid w:val="00BA782F"/>
    <w:rsid w:val="00BB01EE"/>
    <w:rsid w:val="00BB088A"/>
    <w:rsid w:val="00BB094D"/>
    <w:rsid w:val="00BB0C31"/>
    <w:rsid w:val="00BB1175"/>
    <w:rsid w:val="00BB2C33"/>
    <w:rsid w:val="00BB35A7"/>
    <w:rsid w:val="00BB3616"/>
    <w:rsid w:val="00BB4258"/>
    <w:rsid w:val="00BB527B"/>
    <w:rsid w:val="00BB53BD"/>
    <w:rsid w:val="00BB6A28"/>
    <w:rsid w:val="00BB7810"/>
    <w:rsid w:val="00BC0301"/>
    <w:rsid w:val="00BC0AC4"/>
    <w:rsid w:val="00BC0C3A"/>
    <w:rsid w:val="00BC0C5C"/>
    <w:rsid w:val="00BC2318"/>
    <w:rsid w:val="00BC26E5"/>
    <w:rsid w:val="00BC29BC"/>
    <w:rsid w:val="00BC2AFC"/>
    <w:rsid w:val="00BC30F5"/>
    <w:rsid w:val="00BC4527"/>
    <w:rsid w:val="00BC45F9"/>
    <w:rsid w:val="00BC5082"/>
    <w:rsid w:val="00BC662B"/>
    <w:rsid w:val="00BC69CD"/>
    <w:rsid w:val="00BD07A2"/>
    <w:rsid w:val="00BD0D43"/>
    <w:rsid w:val="00BD12C4"/>
    <w:rsid w:val="00BD1E35"/>
    <w:rsid w:val="00BD2942"/>
    <w:rsid w:val="00BD346A"/>
    <w:rsid w:val="00BD45FD"/>
    <w:rsid w:val="00BD486A"/>
    <w:rsid w:val="00BD4EA2"/>
    <w:rsid w:val="00BD5232"/>
    <w:rsid w:val="00BD5F8A"/>
    <w:rsid w:val="00BD685D"/>
    <w:rsid w:val="00BD79D9"/>
    <w:rsid w:val="00BE111F"/>
    <w:rsid w:val="00BE11D0"/>
    <w:rsid w:val="00BE11E7"/>
    <w:rsid w:val="00BE1346"/>
    <w:rsid w:val="00BE204C"/>
    <w:rsid w:val="00BE22A2"/>
    <w:rsid w:val="00BE2BAA"/>
    <w:rsid w:val="00BE3134"/>
    <w:rsid w:val="00BE343E"/>
    <w:rsid w:val="00BE38CB"/>
    <w:rsid w:val="00BE48AA"/>
    <w:rsid w:val="00BE51DF"/>
    <w:rsid w:val="00BE604A"/>
    <w:rsid w:val="00BE7401"/>
    <w:rsid w:val="00BE7DD8"/>
    <w:rsid w:val="00BF0A94"/>
    <w:rsid w:val="00BF19C3"/>
    <w:rsid w:val="00BF2827"/>
    <w:rsid w:val="00BF2C1A"/>
    <w:rsid w:val="00BF2F60"/>
    <w:rsid w:val="00BF3133"/>
    <w:rsid w:val="00BF348A"/>
    <w:rsid w:val="00BF4E4B"/>
    <w:rsid w:val="00BF5442"/>
    <w:rsid w:val="00BF5A3A"/>
    <w:rsid w:val="00BF64CF"/>
    <w:rsid w:val="00BF6A54"/>
    <w:rsid w:val="00BF6D2B"/>
    <w:rsid w:val="00BF6DAF"/>
    <w:rsid w:val="00BF77C2"/>
    <w:rsid w:val="00BF7AA7"/>
    <w:rsid w:val="00C01911"/>
    <w:rsid w:val="00C030D5"/>
    <w:rsid w:val="00C04616"/>
    <w:rsid w:val="00C0483B"/>
    <w:rsid w:val="00C04B6A"/>
    <w:rsid w:val="00C04B8D"/>
    <w:rsid w:val="00C0785B"/>
    <w:rsid w:val="00C11001"/>
    <w:rsid w:val="00C11F61"/>
    <w:rsid w:val="00C12836"/>
    <w:rsid w:val="00C12C48"/>
    <w:rsid w:val="00C135E9"/>
    <w:rsid w:val="00C136E0"/>
    <w:rsid w:val="00C140EB"/>
    <w:rsid w:val="00C1545B"/>
    <w:rsid w:val="00C155B6"/>
    <w:rsid w:val="00C15C65"/>
    <w:rsid w:val="00C16360"/>
    <w:rsid w:val="00C1682F"/>
    <w:rsid w:val="00C209E1"/>
    <w:rsid w:val="00C211B1"/>
    <w:rsid w:val="00C21DAC"/>
    <w:rsid w:val="00C223AE"/>
    <w:rsid w:val="00C235F3"/>
    <w:rsid w:val="00C23AE8"/>
    <w:rsid w:val="00C23C24"/>
    <w:rsid w:val="00C24AFF"/>
    <w:rsid w:val="00C264D8"/>
    <w:rsid w:val="00C27773"/>
    <w:rsid w:val="00C27D34"/>
    <w:rsid w:val="00C3027F"/>
    <w:rsid w:val="00C30548"/>
    <w:rsid w:val="00C30DC3"/>
    <w:rsid w:val="00C313C2"/>
    <w:rsid w:val="00C31688"/>
    <w:rsid w:val="00C31805"/>
    <w:rsid w:val="00C31C31"/>
    <w:rsid w:val="00C32ACB"/>
    <w:rsid w:val="00C34381"/>
    <w:rsid w:val="00C348D8"/>
    <w:rsid w:val="00C34B5F"/>
    <w:rsid w:val="00C34CD6"/>
    <w:rsid w:val="00C34FA7"/>
    <w:rsid w:val="00C3555F"/>
    <w:rsid w:val="00C35ED2"/>
    <w:rsid w:val="00C371AC"/>
    <w:rsid w:val="00C374A4"/>
    <w:rsid w:val="00C37622"/>
    <w:rsid w:val="00C40671"/>
    <w:rsid w:val="00C41D1E"/>
    <w:rsid w:val="00C41E6D"/>
    <w:rsid w:val="00C42427"/>
    <w:rsid w:val="00C424D2"/>
    <w:rsid w:val="00C428B0"/>
    <w:rsid w:val="00C42DC6"/>
    <w:rsid w:val="00C445C7"/>
    <w:rsid w:val="00C44C26"/>
    <w:rsid w:val="00C4548D"/>
    <w:rsid w:val="00C45D2A"/>
    <w:rsid w:val="00C472CF"/>
    <w:rsid w:val="00C47382"/>
    <w:rsid w:val="00C47395"/>
    <w:rsid w:val="00C47732"/>
    <w:rsid w:val="00C50B35"/>
    <w:rsid w:val="00C50B6A"/>
    <w:rsid w:val="00C514AF"/>
    <w:rsid w:val="00C517BE"/>
    <w:rsid w:val="00C52C05"/>
    <w:rsid w:val="00C52DE3"/>
    <w:rsid w:val="00C533C2"/>
    <w:rsid w:val="00C53C6C"/>
    <w:rsid w:val="00C53FF3"/>
    <w:rsid w:val="00C54FD9"/>
    <w:rsid w:val="00C5500A"/>
    <w:rsid w:val="00C5517D"/>
    <w:rsid w:val="00C55CF8"/>
    <w:rsid w:val="00C56430"/>
    <w:rsid w:val="00C56540"/>
    <w:rsid w:val="00C56A3B"/>
    <w:rsid w:val="00C56C17"/>
    <w:rsid w:val="00C576FD"/>
    <w:rsid w:val="00C6041D"/>
    <w:rsid w:val="00C60B4E"/>
    <w:rsid w:val="00C6143E"/>
    <w:rsid w:val="00C61CFB"/>
    <w:rsid w:val="00C62326"/>
    <w:rsid w:val="00C6290C"/>
    <w:rsid w:val="00C62E23"/>
    <w:rsid w:val="00C630BE"/>
    <w:rsid w:val="00C63B44"/>
    <w:rsid w:val="00C63C7E"/>
    <w:rsid w:val="00C640BC"/>
    <w:rsid w:val="00C64F4C"/>
    <w:rsid w:val="00C6603D"/>
    <w:rsid w:val="00C6632B"/>
    <w:rsid w:val="00C67918"/>
    <w:rsid w:val="00C71429"/>
    <w:rsid w:val="00C719DE"/>
    <w:rsid w:val="00C729F7"/>
    <w:rsid w:val="00C72C06"/>
    <w:rsid w:val="00C7306B"/>
    <w:rsid w:val="00C730DA"/>
    <w:rsid w:val="00C75C86"/>
    <w:rsid w:val="00C8084D"/>
    <w:rsid w:val="00C81188"/>
    <w:rsid w:val="00C81F98"/>
    <w:rsid w:val="00C82F39"/>
    <w:rsid w:val="00C83751"/>
    <w:rsid w:val="00C83EE4"/>
    <w:rsid w:val="00C860C9"/>
    <w:rsid w:val="00C8694C"/>
    <w:rsid w:val="00C87DA4"/>
    <w:rsid w:val="00C902F9"/>
    <w:rsid w:val="00C90F4F"/>
    <w:rsid w:val="00C91236"/>
    <w:rsid w:val="00C918FC"/>
    <w:rsid w:val="00C92C17"/>
    <w:rsid w:val="00C93038"/>
    <w:rsid w:val="00C93205"/>
    <w:rsid w:val="00C93D46"/>
    <w:rsid w:val="00C949D4"/>
    <w:rsid w:val="00C94FDA"/>
    <w:rsid w:val="00C95DA0"/>
    <w:rsid w:val="00C95FF7"/>
    <w:rsid w:val="00C9632F"/>
    <w:rsid w:val="00C966A7"/>
    <w:rsid w:val="00C972B0"/>
    <w:rsid w:val="00C97CF4"/>
    <w:rsid w:val="00CA1255"/>
    <w:rsid w:val="00CA1AF1"/>
    <w:rsid w:val="00CA2E83"/>
    <w:rsid w:val="00CA6B9F"/>
    <w:rsid w:val="00CA7D13"/>
    <w:rsid w:val="00CB13E5"/>
    <w:rsid w:val="00CB1879"/>
    <w:rsid w:val="00CB20AA"/>
    <w:rsid w:val="00CB360A"/>
    <w:rsid w:val="00CB3CCC"/>
    <w:rsid w:val="00CB427F"/>
    <w:rsid w:val="00CB45C3"/>
    <w:rsid w:val="00CB525C"/>
    <w:rsid w:val="00CB54CD"/>
    <w:rsid w:val="00CB5F1A"/>
    <w:rsid w:val="00CB6D49"/>
    <w:rsid w:val="00CB75EC"/>
    <w:rsid w:val="00CB7D68"/>
    <w:rsid w:val="00CC043D"/>
    <w:rsid w:val="00CC05CA"/>
    <w:rsid w:val="00CC0779"/>
    <w:rsid w:val="00CC0DD6"/>
    <w:rsid w:val="00CC1B9D"/>
    <w:rsid w:val="00CC2531"/>
    <w:rsid w:val="00CC2660"/>
    <w:rsid w:val="00CC2A63"/>
    <w:rsid w:val="00CC4868"/>
    <w:rsid w:val="00CC6CEA"/>
    <w:rsid w:val="00CC7005"/>
    <w:rsid w:val="00CC709D"/>
    <w:rsid w:val="00CC7717"/>
    <w:rsid w:val="00CC77D1"/>
    <w:rsid w:val="00CC796A"/>
    <w:rsid w:val="00CC797C"/>
    <w:rsid w:val="00CD0004"/>
    <w:rsid w:val="00CD02FD"/>
    <w:rsid w:val="00CD038E"/>
    <w:rsid w:val="00CD0530"/>
    <w:rsid w:val="00CD0644"/>
    <w:rsid w:val="00CD0B08"/>
    <w:rsid w:val="00CD247A"/>
    <w:rsid w:val="00CD2809"/>
    <w:rsid w:val="00CD2ADC"/>
    <w:rsid w:val="00CD2BFA"/>
    <w:rsid w:val="00CD3080"/>
    <w:rsid w:val="00CD52E9"/>
    <w:rsid w:val="00CD59CB"/>
    <w:rsid w:val="00CD60A6"/>
    <w:rsid w:val="00CD6A01"/>
    <w:rsid w:val="00CD6D03"/>
    <w:rsid w:val="00CD7160"/>
    <w:rsid w:val="00CD7938"/>
    <w:rsid w:val="00CD7962"/>
    <w:rsid w:val="00CD7CEB"/>
    <w:rsid w:val="00CD7DFB"/>
    <w:rsid w:val="00CE03F3"/>
    <w:rsid w:val="00CE071E"/>
    <w:rsid w:val="00CE09EB"/>
    <w:rsid w:val="00CE0F56"/>
    <w:rsid w:val="00CE39EC"/>
    <w:rsid w:val="00CE3C89"/>
    <w:rsid w:val="00CE3F8A"/>
    <w:rsid w:val="00CE46CC"/>
    <w:rsid w:val="00CE47A8"/>
    <w:rsid w:val="00CE5E20"/>
    <w:rsid w:val="00CE60FD"/>
    <w:rsid w:val="00CE6326"/>
    <w:rsid w:val="00CE6963"/>
    <w:rsid w:val="00CE6AB8"/>
    <w:rsid w:val="00CE715D"/>
    <w:rsid w:val="00CE75ED"/>
    <w:rsid w:val="00CE7840"/>
    <w:rsid w:val="00CE79B8"/>
    <w:rsid w:val="00CF0631"/>
    <w:rsid w:val="00CF1A0E"/>
    <w:rsid w:val="00CF1AAE"/>
    <w:rsid w:val="00CF286D"/>
    <w:rsid w:val="00CF3B12"/>
    <w:rsid w:val="00CF3F30"/>
    <w:rsid w:val="00CF4903"/>
    <w:rsid w:val="00CF72B3"/>
    <w:rsid w:val="00D00DA6"/>
    <w:rsid w:val="00D01078"/>
    <w:rsid w:val="00D02AB3"/>
    <w:rsid w:val="00D02BA8"/>
    <w:rsid w:val="00D03063"/>
    <w:rsid w:val="00D03575"/>
    <w:rsid w:val="00D04630"/>
    <w:rsid w:val="00D046A2"/>
    <w:rsid w:val="00D04F57"/>
    <w:rsid w:val="00D05486"/>
    <w:rsid w:val="00D0769C"/>
    <w:rsid w:val="00D07778"/>
    <w:rsid w:val="00D103EA"/>
    <w:rsid w:val="00D10BE1"/>
    <w:rsid w:val="00D11246"/>
    <w:rsid w:val="00D11CAE"/>
    <w:rsid w:val="00D11EDC"/>
    <w:rsid w:val="00D122AA"/>
    <w:rsid w:val="00D12689"/>
    <w:rsid w:val="00D128C5"/>
    <w:rsid w:val="00D12A91"/>
    <w:rsid w:val="00D13251"/>
    <w:rsid w:val="00D13275"/>
    <w:rsid w:val="00D132DC"/>
    <w:rsid w:val="00D136B0"/>
    <w:rsid w:val="00D14057"/>
    <w:rsid w:val="00D14F77"/>
    <w:rsid w:val="00D14FCE"/>
    <w:rsid w:val="00D16599"/>
    <w:rsid w:val="00D165D7"/>
    <w:rsid w:val="00D17350"/>
    <w:rsid w:val="00D17D8C"/>
    <w:rsid w:val="00D206A3"/>
    <w:rsid w:val="00D22D70"/>
    <w:rsid w:val="00D245D2"/>
    <w:rsid w:val="00D24A8F"/>
    <w:rsid w:val="00D24CAD"/>
    <w:rsid w:val="00D24EAB"/>
    <w:rsid w:val="00D2690A"/>
    <w:rsid w:val="00D2766B"/>
    <w:rsid w:val="00D30633"/>
    <w:rsid w:val="00D30934"/>
    <w:rsid w:val="00D30FBA"/>
    <w:rsid w:val="00D318ED"/>
    <w:rsid w:val="00D321CE"/>
    <w:rsid w:val="00D322E3"/>
    <w:rsid w:val="00D340CE"/>
    <w:rsid w:val="00D3431B"/>
    <w:rsid w:val="00D345E8"/>
    <w:rsid w:val="00D34E56"/>
    <w:rsid w:val="00D34E7C"/>
    <w:rsid w:val="00D34F2E"/>
    <w:rsid w:val="00D3552E"/>
    <w:rsid w:val="00D3582E"/>
    <w:rsid w:val="00D35A94"/>
    <w:rsid w:val="00D35F94"/>
    <w:rsid w:val="00D36973"/>
    <w:rsid w:val="00D37092"/>
    <w:rsid w:val="00D37281"/>
    <w:rsid w:val="00D40BEE"/>
    <w:rsid w:val="00D4212F"/>
    <w:rsid w:val="00D42B73"/>
    <w:rsid w:val="00D42DAA"/>
    <w:rsid w:val="00D44295"/>
    <w:rsid w:val="00D445D3"/>
    <w:rsid w:val="00D44AD7"/>
    <w:rsid w:val="00D46255"/>
    <w:rsid w:val="00D462A2"/>
    <w:rsid w:val="00D464E5"/>
    <w:rsid w:val="00D46916"/>
    <w:rsid w:val="00D47314"/>
    <w:rsid w:val="00D47744"/>
    <w:rsid w:val="00D47875"/>
    <w:rsid w:val="00D47890"/>
    <w:rsid w:val="00D47E7F"/>
    <w:rsid w:val="00D50BDC"/>
    <w:rsid w:val="00D521DC"/>
    <w:rsid w:val="00D53321"/>
    <w:rsid w:val="00D5359A"/>
    <w:rsid w:val="00D54B48"/>
    <w:rsid w:val="00D54E0D"/>
    <w:rsid w:val="00D560E5"/>
    <w:rsid w:val="00D57CA8"/>
    <w:rsid w:val="00D625E9"/>
    <w:rsid w:val="00D6266D"/>
    <w:rsid w:val="00D6268D"/>
    <w:rsid w:val="00D63349"/>
    <w:rsid w:val="00D63B94"/>
    <w:rsid w:val="00D64075"/>
    <w:rsid w:val="00D641FF"/>
    <w:rsid w:val="00D67973"/>
    <w:rsid w:val="00D67DE6"/>
    <w:rsid w:val="00D704D9"/>
    <w:rsid w:val="00D70899"/>
    <w:rsid w:val="00D7165E"/>
    <w:rsid w:val="00D71A7A"/>
    <w:rsid w:val="00D71BB6"/>
    <w:rsid w:val="00D7215A"/>
    <w:rsid w:val="00D73389"/>
    <w:rsid w:val="00D7441D"/>
    <w:rsid w:val="00D74808"/>
    <w:rsid w:val="00D7491E"/>
    <w:rsid w:val="00D74CB7"/>
    <w:rsid w:val="00D77ACC"/>
    <w:rsid w:val="00D77B9A"/>
    <w:rsid w:val="00D80FB4"/>
    <w:rsid w:val="00D81C7F"/>
    <w:rsid w:val="00D82069"/>
    <w:rsid w:val="00D84966"/>
    <w:rsid w:val="00D86081"/>
    <w:rsid w:val="00D87A84"/>
    <w:rsid w:val="00D909EF"/>
    <w:rsid w:val="00D90F0C"/>
    <w:rsid w:val="00D911D3"/>
    <w:rsid w:val="00D912CA"/>
    <w:rsid w:val="00D91FD5"/>
    <w:rsid w:val="00D920A1"/>
    <w:rsid w:val="00D93AE0"/>
    <w:rsid w:val="00D93B9C"/>
    <w:rsid w:val="00D93CDA"/>
    <w:rsid w:val="00D940E4"/>
    <w:rsid w:val="00D94C3C"/>
    <w:rsid w:val="00D94FCF"/>
    <w:rsid w:val="00D951A9"/>
    <w:rsid w:val="00D954E8"/>
    <w:rsid w:val="00D96313"/>
    <w:rsid w:val="00D96C8C"/>
    <w:rsid w:val="00D96FC8"/>
    <w:rsid w:val="00D97897"/>
    <w:rsid w:val="00D97FA9"/>
    <w:rsid w:val="00DA0542"/>
    <w:rsid w:val="00DA1B93"/>
    <w:rsid w:val="00DA2545"/>
    <w:rsid w:val="00DA2CAA"/>
    <w:rsid w:val="00DA2FEB"/>
    <w:rsid w:val="00DA3208"/>
    <w:rsid w:val="00DA3469"/>
    <w:rsid w:val="00DA35E3"/>
    <w:rsid w:val="00DA403F"/>
    <w:rsid w:val="00DA45B2"/>
    <w:rsid w:val="00DA462A"/>
    <w:rsid w:val="00DA53D4"/>
    <w:rsid w:val="00DA57B8"/>
    <w:rsid w:val="00DA6A69"/>
    <w:rsid w:val="00DA6CBD"/>
    <w:rsid w:val="00DA6E82"/>
    <w:rsid w:val="00DA76F0"/>
    <w:rsid w:val="00DB0C02"/>
    <w:rsid w:val="00DB0DBF"/>
    <w:rsid w:val="00DB1553"/>
    <w:rsid w:val="00DB267A"/>
    <w:rsid w:val="00DB2DDB"/>
    <w:rsid w:val="00DB2FA3"/>
    <w:rsid w:val="00DB331D"/>
    <w:rsid w:val="00DB3B2F"/>
    <w:rsid w:val="00DB4531"/>
    <w:rsid w:val="00DB4A34"/>
    <w:rsid w:val="00DB5183"/>
    <w:rsid w:val="00DB59EC"/>
    <w:rsid w:val="00DB658E"/>
    <w:rsid w:val="00DB72A8"/>
    <w:rsid w:val="00DB7354"/>
    <w:rsid w:val="00DC0B48"/>
    <w:rsid w:val="00DC10D3"/>
    <w:rsid w:val="00DC2724"/>
    <w:rsid w:val="00DC34BB"/>
    <w:rsid w:val="00DC39A3"/>
    <w:rsid w:val="00DC419D"/>
    <w:rsid w:val="00DC46BD"/>
    <w:rsid w:val="00DC577C"/>
    <w:rsid w:val="00DC5A8D"/>
    <w:rsid w:val="00DC735C"/>
    <w:rsid w:val="00DC7452"/>
    <w:rsid w:val="00DC7715"/>
    <w:rsid w:val="00DD1A8B"/>
    <w:rsid w:val="00DD1B2C"/>
    <w:rsid w:val="00DD1D54"/>
    <w:rsid w:val="00DD2E37"/>
    <w:rsid w:val="00DD40D9"/>
    <w:rsid w:val="00DD4248"/>
    <w:rsid w:val="00DD4A16"/>
    <w:rsid w:val="00DD52FC"/>
    <w:rsid w:val="00DD5621"/>
    <w:rsid w:val="00DD5F0A"/>
    <w:rsid w:val="00DD7646"/>
    <w:rsid w:val="00DE09ED"/>
    <w:rsid w:val="00DE0FF5"/>
    <w:rsid w:val="00DE1305"/>
    <w:rsid w:val="00DE278C"/>
    <w:rsid w:val="00DE2C86"/>
    <w:rsid w:val="00DE3A5C"/>
    <w:rsid w:val="00DE4027"/>
    <w:rsid w:val="00DE413F"/>
    <w:rsid w:val="00DE67F4"/>
    <w:rsid w:val="00DE6C33"/>
    <w:rsid w:val="00DE7307"/>
    <w:rsid w:val="00DE75EA"/>
    <w:rsid w:val="00DE7CD4"/>
    <w:rsid w:val="00DE7EEC"/>
    <w:rsid w:val="00DF00F7"/>
    <w:rsid w:val="00DF0E80"/>
    <w:rsid w:val="00DF1566"/>
    <w:rsid w:val="00DF156C"/>
    <w:rsid w:val="00DF2686"/>
    <w:rsid w:val="00DF3E96"/>
    <w:rsid w:val="00DF4A77"/>
    <w:rsid w:val="00DF4D6B"/>
    <w:rsid w:val="00DF4E9F"/>
    <w:rsid w:val="00DF526E"/>
    <w:rsid w:val="00DF56D0"/>
    <w:rsid w:val="00DF5F19"/>
    <w:rsid w:val="00DF697F"/>
    <w:rsid w:val="00E005A0"/>
    <w:rsid w:val="00E00662"/>
    <w:rsid w:val="00E00823"/>
    <w:rsid w:val="00E00AB3"/>
    <w:rsid w:val="00E0103F"/>
    <w:rsid w:val="00E02E86"/>
    <w:rsid w:val="00E02F9E"/>
    <w:rsid w:val="00E043C0"/>
    <w:rsid w:val="00E04AC7"/>
    <w:rsid w:val="00E0506B"/>
    <w:rsid w:val="00E0545B"/>
    <w:rsid w:val="00E06ABC"/>
    <w:rsid w:val="00E06EE1"/>
    <w:rsid w:val="00E071B7"/>
    <w:rsid w:val="00E0761E"/>
    <w:rsid w:val="00E0797A"/>
    <w:rsid w:val="00E079F6"/>
    <w:rsid w:val="00E07BAF"/>
    <w:rsid w:val="00E07C6D"/>
    <w:rsid w:val="00E10454"/>
    <w:rsid w:val="00E12C93"/>
    <w:rsid w:val="00E136B6"/>
    <w:rsid w:val="00E13C2A"/>
    <w:rsid w:val="00E14FB6"/>
    <w:rsid w:val="00E155AD"/>
    <w:rsid w:val="00E15D1F"/>
    <w:rsid w:val="00E15F0C"/>
    <w:rsid w:val="00E165AA"/>
    <w:rsid w:val="00E174AC"/>
    <w:rsid w:val="00E178EA"/>
    <w:rsid w:val="00E179C2"/>
    <w:rsid w:val="00E200E8"/>
    <w:rsid w:val="00E21024"/>
    <w:rsid w:val="00E22D7B"/>
    <w:rsid w:val="00E235CE"/>
    <w:rsid w:val="00E23CDB"/>
    <w:rsid w:val="00E25FE7"/>
    <w:rsid w:val="00E267B0"/>
    <w:rsid w:val="00E267FA"/>
    <w:rsid w:val="00E27EFE"/>
    <w:rsid w:val="00E32908"/>
    <w:rsid w:val="00E330D4"/>
    <w:rsid w:val="00E338E2"/>
    <w:rsid w:val="00E33BBB"/>
    <w:rsid w:val="00E33FB3"/>
    <w:rsid w:val="00E340C1"/>
    <w:rsid w:val="00E3495D"/>
    <w:rsid w:val="00E35596"/>
    <w:rsid w:val="00E35EF8"/>
    <w:rsid w:val="00E35EF9"/>
    <w:rsid w:val="00E40835"/>
    <w:rsid w:val="00E40AA4"/>
    <w:rsid w:val="00E41187"/>
    <w:rsid w:val="00E4120B"/>
    <w:rsid w:val="00E4156E"/>
    <w:rsid w:val="00E41F0D"/>
    <w:rsid w:val="00E42678"/>
    <w:rsid w:val="00E430B3"/>
    <w:rsid w:val="00E438F8"/>
    <w:rsid w:val="00E43AE2"/>
    <w:rsid w:val="00E43DA1"/>
    <w:rsid w:val="00E44224"/>
    <w:rsid w:val="00E44E56"/>
    <w:rsid w:val="00E45886"/>
    <w:rsid w:val="00E462B6"/>
    <w:rsid w:val="00E46F03"/>
    <w:rsid w:val="00E470EB"/>
    <w:rsid w:val="00E47CC3"/>
    <w:rsid w:val="00E47D56"/>
    <w:rsid w:val="00E50341"/>
    <w:rsid w:val="00E5044F"/>
    <w:rsid w:val="00E511AC"/>
    <w:rsid w:val="00E52563"/>
    <w:rsid w:val="00E52A6C"/>
    <w:rsid w:val="00E52F0F"/>
    <w:rsid w:val="00E53D22"/>
    <w:rsid w:val="00E55145"/>
    <w:rsid w:val="00E55E23"/>
    <w:rsid w:val="00E560EE"/>
    <w:rsid w:val="00E5612E"/>
    <w:rsid w:val="00E561F8"/>
    <w:rsid w:val="00E56586"/>
    <w:rsid w:val="00E567C4"/>
    <w:rsid w:val="00E571C5"/>
    <w:rsid w:val="00E57968"/>
    <w:rsid w:val="00E60302"/>
    <w:rsid w:val="00E605CA"/>
    <w:rsid w:val="00E60EDC"/>
    <w:rsid w:val="00E61213"/>
    <w:rsid w:val="00E61A82"/>
    <w:rsid w:val="00E61BC9"/>
    <w:rsid w:val="00E61C79"/>
    <w:rsid w:val="00E61FB4"/>
    <w:rsid w:val="00E62BD3"/>
    <w:rsid w:val="00E63495"/>
    <w:rsid w:val="00E634BE"/>
    <w:rsid w:val="00E65560"/>
    <w:rsid w:val="00E65BD3"/>
    <w:rsid w:val="00E66736"/>
    <w:rsid w:val="00E667BE"/>
    <w:rsid w:val="00E67328"/>
    <w:rsid w:val="00E70DE7"/>
    <w:rsid w:val="00E71766"/>
    <w:rsid w:val="00E72038"/>
    <w:rsid w:val="00E72191"/>
    <w:rsid w:val="00E72497"/>
    <w:rsid w:val="00E72AD6"/>
    <w:rsid w:val="00E72B38"/>
    <w:rsid w:val="00E73943"/>
    <w:rsid w:val="00E745D7"/>
    <w:rsid w:val="00E746B3"/>
    <w:rsid w:val="00E74C5D"/>
    <w:rsid w:val="00E757FB"/>
    <w:rsid w:val="00E75F79"/>
    <w:rsid w:val="00E76C11"/>
    <w:rsid w:val="00E774EE"/>
    <w:rsid w:val="00E77D03"/>
    <w:rsid w:val="00E77F1D"/>
    <w:rsid w:val="00E80E93"/>
    <w:rsid w:val="00E8284F"/>
    <w:rsid w:val="00E82E74"/>
    <w:rsid w:val="00E83373"/>
    <w:rsid w:val="00E83FF4"/>
    <w:rsid w:val="00E8482D"/>
    <w:rsid w:val="00E8546C"/>
    <w:rsid w:val="00E85EEE"/>
    <w:rsid w:val="00E85FDC"/>
    <w:rsid w:val="00E86921"/>
    <w:rsid w:val="00E87AFE"/>
    <w:rsid w:val="00E87C9B"/>
    <w:rsid w:val="00E91039"/>
    <w:rsid w:val="00E91785"/>
    <w:rsid w:val="00E91DE1"/>
    <w:rsid w:val="00E9328E"/>
    <w:rsid w:val="00E93526"/>
    <w:rsid w:val="00E95896"/>
    <w:rsid w:val="00E95DA5"/>
    <w:rsid w:val="00E95EE6"/>
    <w:rsid w:val="00E962DD"/>
    <w:rsid w:val="00E96D07"/>
    <w:rsid w:val="00EA0C71"/>
    <w:rsid w:val="00EA0E4B"/>
    <w:rsid w:val="00EA19A4"/>
    <w:rsid w:val="00EA22E2"/>
    <w:rsid w:val="00EA308A"/>
    <w:rsid w:val="00EA378E"/>
    <w:rsid w:val="00EA395C"/>
    <w:rsid w:val="00EA6482"/>
    <w:rsid w:val="00EA73B4"/>
    <w:rsid w:val="00EB0A4D"/>
    <w:rsid w:val="00EB10E6"/>
    <w:rsid w:val="00EB215B"/>
    <w:rsid w:val="00EB2AD9"/>
    <w:rsid w:val="00EB37BC"/>
    <w:rsid w:val="00EB3E47"/>
    <w:rsid w:val="00EB530B"/>
    <w:rsid w:val="00EB570F"/>
    <w:rsid w:val="00EB57A4"/>
    <w:rsid w:val="00EB6A4C"/>
    <w:rsid w:val="00EB72C7"/>
    <w:rsid w:val="00EB7D46"/>
    <w:rsid w:val="00EC007E"/>
    <w:rsid w:val="00EC0492"/>
    <w:rsid w:val="00EC04F1"/>
    <w:rsid w:val="00EC09A4"/>
    <w:rsid w:val="00EC1390"/>
    <w:rsid w:val="00EC1709"/>
    <w:rsid w:val="00EC2C6A"/>
    <w:rsid w:val="00EC2DD1"/>
    <w:rsid w:val="00EC338D"/>
    <w:rsid w:val="00EC33E4"/>
    <w:rsid w:val="00EC4F83"/>
    <w:rsid w:val="00EC5D84"/>
    <w:rsid w:val="00EC68E4"/>
    <w:rsid w:val="00EC709B"/>
    <w:rsid w:val="00EC74DA"/>
    <w:rsid w:val="00EC782F"/>
    <w:rsid w:val="00EC7B0E"/>
    <w:rsid w:val="00EC7F14"/>
    <w:rsid w:val="00ED0859"/>
    <w:rsid w:val="00ED087F"/>
    <w:rsid w:val="00ED0D0A"/>
    <w:rsid w:val="00ED1317"/>
    <w:rsid w:val="00ED24C2"/>
    <w:rsid w:val="00ED2A6E"/>
    <w:rsid w:val="00ED2B7D"/>
    <w:rsid w:val="00ED30D1"/>
    <w:rsid w:val="00ED3C11"/>
    <w:rsid w:val="00ED3C2A"/>
    <w:rsid w:val="00ED4C35"/>
    <w:rsid w:val="00ED4F2E"/>
    <w:rsid w:val="00ED586D"/>
    <w:rsid w:val="00ED6039"/>
    <w:rsid w:val="00ED608C"/>
    <w:rsid w:val="00ED7E48"/>
    <w:rsid w:val="00EE0786"/>
    <w:rsid w:val="00EE086D"/>
    <w:rsid w:val="00EE1439"/>
    <w:rsid w:val="00EE1A26"/>
    <w:rsid w:val="00EE209B"/>
    <w:rsid w:val="00EE2191"/>
    <w:rsid w:val="00EE27CC"/>
    <w:rsid w:val="00EE2FC0"/>
    <w:rsid w:val="00EE31E3"/>
    <w:rsid w:val="00EE3712"/>
    <w:rsid w:val="00EE38E1"/>
    <w:rsid w:val="00EE40E5"/>
    <w:rsid w:val="00EE4168"/>
    <w:rsid w:val="00EE5401"/>
    <w:rsid w:val="00EE57C5"/>
    <w:rsid w:val="00EE619F"/>
    <w:rsid w:val="00EE6768"/>
    <w:rsid w:val="00EE6787"/>
    <w:rsid w:val="00EE6BEC"/>
    <w:rsid w:val="00EE6F8E"/>
    <w:rsid w:val="00EF0EF6"/>
    <w:rsid w:val="00EF0FB1"/>
    <w:rsid w:val="00EF149D"/>
    <w:rsid w:val="00EF1D59"/>
    <w:rsid w:val="00EF24AD"/>
    <w:rsid w:val="00EF3D35"/>
    <w:rsid w:val="00EF4506"/>
    <w:rsid w:val="00EF4F19"/>
    <w:rsid w:val="00EF5926"/>
    <w:rsid w:val="00EF6334"/>
    <w:rsid w:val="00EF6B30"/>
    <w:rsid w:val="00EF715E"/>
    <w:rsid w:val="00EF75E9"/>
    <w:rsid w:val="00EF7D87"/>
    <w:rsid w:val="00F0015B"/>
    <w:rsid w:val="00F002EA"/>
    <w:rsid w:val="00F004A5"/>
    <w:rsid w:val="00F00D90"/>
    <w:rsid w:val="00F01301"/>
    <w:rsid w:val="00F01361"/>
    <w:rsid w:val="00F0210E"/>
    <w:rsid w:val="00F021DA"/>
    <w:rsid w:val="00F026A2"/>
    <w:rsid w:val="00F027D8"/>
    <w:rsid w:val="00F02934"/>
    <w:rsid w:val="00F0349D"/>
    <w:rsid w:val="00F05C8C"/>
    <w:rsid w:val="00F074DF"/>
    <w:rsid w:val="00F0752F"/>
    <w:rsid w:val="00F077AC"/>
    <w:rsid w:val="00F078C3"/>
    <w:rsid w:val="00F114BD"/>
    <w:rsid w:val="00F1315E"/>
    <w:rsid w:val="00F1343F"/>
    <w:rsid w:val="00F1524B"/>
    <w:rsid w:val="00F1561D"/>
    <w:rsid w:val="00F15AB4"/>
    <w:rsid w:val="00F15DDA"/>
    <w:rsid w:val="00F20CE3"/>
    <w:rsid w:val="00F20FF8"/>
    <w:rsid w:val="00F21060"/>
    <w:rsid w:val="00F22562"/>
    <w:rsid w:val="00F22ED1"/>
    <w:rsid w:val="00F23247"/>
    <w:rsid w:val="00F23309"/>
    <w:rsid w:val="00F2357A"/>
    <w:rsid w:val="00F2430F"/>
    <w:rsid w:val="00F246AA"/>
    <w:rsid w:val="00F24CA4"/>
    <w:rsid w:val="00F24DCF"/>
    <w:rsid w:val="00F252DF"/>
    <w:rsid w:val="00F25828"/>
    <w:rsid w:val="00F25A37"/>
    <w:rsid w:val="00F3132F"/>
    <w:rsid w:val="00F3162A"/>
    <w:rsid w:val="00F31954"/>
    <w:rsid w:val="00F31E71"/>
    <w:rsid w:val="00F31F31"/>
    <w:rsid w:val="00F32657"/>
    <w:rsid w:val="00F326E2"/>
    <w:rsid w:val="00F32A40"/>
    <w:rsid w:val="00F333CA"/>
    <w:rsid w:val="00F33528"/>
    <w:rsid w:val="00F33894"/>
    <w:rsid w:val="00F33D32"/>
    <w:rsid w:val="00F34B0E"/>
    <w:rsid w:val="00F35E9C"/>
    <w:rsid w:val="00F36375"/>
    <w:rsid w:val="00F376DC"/>
    <w:rsid w:val="00F40812"/>
    <w:rsid w:val="00F40B95"/>
    <w:rsid w:val="00F437C2"/>
    <w:rsid w:val="00F43D0C"/>
    <w:rsid w:val="00F45742"/>
    <w:rsid w:val="00F45819"/>
    <w:rsid w:val="00F45836"/>
    <w:rsid w:val="00F4717F"/>
    <w:rsid w:val="00F4789C"/>
    <w:rsid w:val="00F51529"/>
    <w:rsid w:val="00F51802"/>
    <w:rsid w:val="00F51812"/>
    <w:rsid w:val="00F51EA3"/>
    <w:rsid w:val="00F52A99"/>
    <w:rsid w:val="00F52BE4"/>
    <w:rsid w:val="00F52EF5"/>
    <w:rsid w:val="00F5303C"/>
    <w:rsid w:val="00F53BDB"/>
    <w:rsid w:val="00F54203"/>
    <w:rsid w:val="00F54210"/>
    <w:rsid w:val="00F54280"/>
    <w:rsid w:val="00F55A29"/>
    <w:rsid w:val="00F55FFA"/>
    <w:rsid w:val="00F5684C"/>
    <w:rsid w:val="00F56D5A"/>
    <w:rsid w:val="00F60825"/>
    <w:rsid w:val="00F60E53"/>
    <w:rsid w:val="00F60F5C"/>
    <w:rsid w:val="00F61EBE"/>
    <w:rsid w:val="00F61F93"/>
    <w:rsid w:val="00F64366"/>
    <w:rsid w:val="00F64E4F"/>
    <w:rsid w:val="00F654AA"/>
    <w:rsid w:val="00F65633"/>
    <w:rsid w:val="00F66591"/>
    <w:rsid w:val="00F66B84"/>
    <w:rsid w:val="00F66F55"/>
    <w:rsid w:val="00F674E5"/>
    <w:rsid w:val="00F67EDA"/>
    <w:rsid w:val="00F7032A"/>
    <w:rsid w:val="00F7137C"/>
    <w:rsid w:val="00F71657"/>
    <w:rsid w:val="00F7256A"/>
    <w:rsid w:val="00F728CC"/>
    <w:rsid w:val="00F73178"/>
    <w:rsid w:val="00F7428F"/>
    <w:rsid w:val="00F743C0"/>
    <w:rsid w:val="00F752C1"/>
    <w:rsid w:val="00F75DFC"/>
    <w:rsid w:val="00F77C90"/>
    <w:rsid w:val="00F800A8"/>
    <w:rsid w:val="00F80101"/>
    <w:rsid w:val="00F80596"/>
    <w:rsid w:val="00F81669"/>
    <w:rsid w:val="00F81C42"/>
    <w:rsid w:val="00F82BF7"/>
    <w:rsid w:val="00F83468"/>
    <w:rsid w:val="00F837CF"/>
    <w:rsid w:val="00F84791"/>
    <w:rsid w:val="00F84DBE"/>
    <w:rsid w:val="00F850BF"/>
    <w:rsid w:val="00F85A50"/>
    <w:rsid w:val="00F85C14"/>
    <w:rsid w:val="00F87648"/>
    <w:rsid w:val="00F87F99"/>
    <w:rsid w:val="00F90057"/>
    <w:rsid w:val="00F905E4"/>
    <w:rsid w:val="00F90F30"/>
    <w:rsid w:val="00F9107C"/>
    <w:rsid w:val="00F92745"/>
    <w:rsid w:val="00F933B5"/>
    <w:rsid w:val="00F93E5A"/>
    <w:rsid w:val="00F949AE"/>
    <w:rsid w:val="00F954F1"/>
    <w:rsid w:val="00F977A2"/>
    <w:rsid w:val="00F97BE8"/>
    <w:rsid w:val="00FA12DB"/>
    <w:rsid w:val="00FA1814"/>
    <w:rsid w:val="00FA1AEE"/>
    <w:rsid w:val="00FA3ECB"/>
    <w:rsid w:val="00FA459D"/>
    <w:rsid w:val="00FA5566"/>
    <w:rsid w:val="00FA5F5E"/>
    <w:rsid w:val="00FA654D"/>
    <w:rsid w:val="00FA6600"/>
    <w:rsid w:val="00FA6825"/>
    <w:rsid w:val="00FA6F6A"/>
    <w:rsid w:val="00FA76EB"/>
    <w:rsid w:val="00FB01F6"/>
    <w:rsid w:val="00FB1B94"/>
    <w:rsid w:val="00FB1C69"/>
    <w:rsid w:val="00FB2FFF"/>
    <w:rsid w:val="00FB42F0"/>
    <w:rsid w:val="00FB4836"/>
    <w:rsid w:val="00FB4C0B"/>
    <w:rsid w:val="00FB7173"/>
    <w:rsid w:val="00FC1552"/>
    <w:rsid w:val="00FC24F2"/>
    <w:rsid w:val="00FC2E1B"/>
    <w:rsid w:val="00FC340C"/>
    <w:rsid w:val="00FC48DD"/>
    <w:rsid w:val="00FC4FA2"/>
    <w:rsid w:val="00FC612C"/>
    <w:rsid w:val="00FC6AA7"/>
    <w:rsid w:val="00FC7932"/>
    <w:rsid w:val="00FC79AD"/>
    <w:rsid w:val="00FD0560"/>
    <w:rsid w:val="00FD0CDA"/>
    <w:rsid w:val="00FD20C4"/>
    <w:rsid w:val="00FD2585"/>
    <w:rsid w:val="00FD3A89"/>
    <w:rsid w:val="00FD3B30"/>
    <w:rsid w:val="00FD3C23"/>
    <w:rsid w:val="00FD528C"/>
    <w:rsid w:val="00FD5310"/>
    <w:rsid w:val="00FD61ED"/>
    <w:rsid w:val="00FD6716"/>
    <w:rsid w:val="00FD7DE7"/>
    <w:rsid w:val="00FE00C4"/>
    <w:rsid w:val="00FE1732"/>
    <w:rsid w:val="00FE248C"/>
    <w:rsid w:val="00FE360F"/>
    <w:rsid w:val="00FE3BBA"/>
    <w:rsid w:val="00FE47C8"/>
    <w:rsid w:val="00FE4AA7"/>
    <w:rsid w:val="00FE55C8"/>
    <w:rsid w:val="00FE6129"/>
    <w:rsid w:val="00FE6ADC"/>
    <w:rsid w:val="00FE6F7F"/>
    <w:rsid w:val="00FE779D"/>
    <w:rsid w:val="00FE7CF2"/>
    <w:rsid w:val="00FF0351"/>
    <w:rsid w:val="00FF0BD4"/>
    <w:rsid w:val="00FF1733"/>
    <w:rsid w:val="00FF17A5"/>
    <w:rsid w:val="00FF2A61"/>
    <w:rsid w:val="00FF2DFB"/>
    <w:rsid w:val="00FF3036"/>
    <w:rsid w:val="00FF3EF7"/>
    <w:rsid w:val="00FF40FB"/>
    <w:rsid w:val="00FF474F"/>
    <w:rsid w:val="00FF4E66"/>
    <w:rsid w:val="00FF577C"/>
    <w:rsid w:val="00FF58E1"/>
    <w:rsid w:val="00FF6A80"/>
    <w:rsid w:val="00FF6DA2"/>
    <w:rsid w:val="00FF70E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53E21D"/>
  <w15:docId w15:val="{770685BB-CA14-4240-B256-66901E9A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AB4"/>
    <w:pPr>
      <w:contextualSpacing/>
      <w:jc w:val="both"/>
    </w:pPr>
    <w:rPr>
      <w:rFonts w:ascii="Garamond" w:hAnsi="Garamond"/>
      <w:lang w:val="en-CA"/>
    </w:rPr>
  </w:style>
  <w:style w:type="paragraph" w:styleId="Heading1">
    <w:name w:val="heading 1"/>
    <w:basedOn w:val="Normal"/>
    <w:next w:val="Normal"/>
    <w:link w:val="Heading1Char"/>
    <w:uiPriority w:val="9"/>
    <w:qFormat/>
    <w:rsid w:val="00372520"/>
    <w:pPr>
      <w:keepNext/>
      <w:keepLines/>
      <w:spacing w:before="480"/>
      <w:jc w:val="center"/>
      <w:outlineLvl w:val="0"/>
    </w:pPr>
    <w:rPr>
      <w:rFonts w:eastAsiaTheme="majorEastAsia" w:cstheme="majorBidi"/>
      <w:b/>
      <w:bCs/>
      <w:caps/>
      <w:sz w:val="32"/>
      <w:szCs w:val="32"/>
    </w:rPr>
  </w:style>
  <w:style w:type="paragraph" w:styleId="Heading2">
    <w:name w:val="heading 2"/>
    <w:basedOn w:val="Normal"/>
    <w:next w:val="Normal"/>
    <w:link w:val="Heading2Char"/>
    <w:uiPriority w:val="9"/>
    <w:unhideWhenUsed/>
    <w:qFormat/>
    <w:rsid w:val="00372520"/>
    <w:pPr>
      <w:keepNext/>
      <w:keepLines/>
      <w:spacing w:before="200"/>
      <w:outlineLvl w:val="1"/>
    </w:pPr>
    <w:rPr>
      <w:rFonts w:eastAsiaTheme="majorEastAsia" w:cstheme="majorBidi"/>
      <w:b/>
      <w:bCs/>
      <w:smallCaps/>
      <w:sz w:val="26"/>
      <w:szCs w:val="26"/>
    </w:rPr>
  </w:style>
  <w:style w:type="paragraph" w:styleId="Heading3">
    <w:name w:val="heading 3"/>
    <w:basedOn w:val="Normal"/>
    <w:next w:val="Normal"/>
    <w:link w:val="Heading3Char"/>
    <w:uiPriority w:val="9"/>
    <w:unhideWhenUsed/>
    <w:qFormat/>
    <w:rsid w:val="009C7AE8"/>
    <w:pPr>
      <w:keepNext/>
      <w:keepLines/>
      <w:spacing w:before="200" w:line="480" w:lineRule="auto"/>
      <w:outlineLvl w:val="2"/>
    </w:pPr>
    <w:rPr>
      <w:rFonts w:eastAsiaTheme="majorEastAsia" w:cstheme="majorBidi"/>
      <w:i/>
      <w:iCs/>
    </w:rPr>
  </w:style>
  <w:style w:type="paragraph" w:styleId="Heading4">
    <w:name w:val="heading 4"/>
    <w:basedOn w:val="Normal"/>
    <w:next w:val="Normal"/>
    <w:link w:val="Heading4Char"/>
    <w:uiPriority w:val="9"/>
    <w:unhideWhenUsed/>
    <w:qFormat/>
    <w:rsid w:val="003B7838"/>
    <w:pPr>
      <w:keepNext/>
      <w:keepLines/>
      <w:spacing w:before="200"/>
      <w:outlineLvl w:val="3"/>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7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77C9"/>
    <w:rPr>
      <w:rFonts w:ascii="Lucida Grande" w:hAnsi="Lucida Grande" w:cs="Lucida Grande"/>
      <w:sz w:val="18"/>
      <w:szCs w:val="18"/>
      <w:lang w:val="en-CA"/>
    </w:rPr>
  </w:style>
  <w:style w:type="character" w:customStyle="1" w:styleId="Heading1Char">
    <w:name w:val="Heading 1 Char"/>
    <w:basedOn w:val="DefaultParagraphFont"/>
    <w:link w:val="Heading1"/>
    <w:uiPriority w:val="9"/>
    <w:rsid w:val="00372520"/>
    <w:rPr>
      <w:rFonts w:ascii="Garamond" w:eastAsiaTheme="majorEastAsia" w:hAnsi="Garamond" w:cstheme="majorBidi"/>
      <w:b/>
      <w:bCs/>
      <w:caps/>
      <w:sz w:val="32"/>
      <w:szCs w:val="32"/>
      <w:lang w:val="en-CA"/>
    </w:rPr>
  </w:style>
  <w:style w:type="character" w:customStyle="1" w:styleId="Heading2Char">
    <w:name w:val="Heading 2 Char"/>
    <w:basedOn w:val="DefaultParagraphFont"/>
    <w:link w:val="Heading2"/>
    <w:uiPriority w:val="9"/>
    <w:rsid w:val="00372520"/>
    <w:rPr>
      <w:rFonts w:ascii="Garamond" w:eastAsiaTheme="majorEastAsia" w:hAnsi="Garamond" w:cstheme="majorBidi"/>
      <w:b/>
      <w:bCs/>
      <w:smallCaps/>
      <w:sz w:val="26"/>
      <w:szCs w:val="26"/>
      <w:lang w:val="en-CA"/>
    </w:rPr>
  </w:style>
  <w:style w:type="character" w:customStyle="1" w:styleId="Heading3Char">
    <w:name w:val="Heading 3 Char"/>
    <w:basedOn w:val="DefaultParagraphFont"/>
    <w:link w:val="Heading3"/>
    <w:uiPriority w:val="9"/>
    <w:rsid w:val="009C7AE8"/>
    <w:rPr>
      <w:rFonts w:ascii="Garamond" w:eastAsiaTheme="majorEastAsia" w:hAnsi="Garamond" w:cstheme="majorBidi"/>
      <w:i/>
      <w:iCs/>
      <w:lang w:val="en-CA"/>
    </w:rPr>
  </w:style>
  <w:style w:type="character" w:customStyle="1" w:styleId="Heading4Char">
    <w:name w:val="Heading 4 Char"/>
    <w:basedOn w:val="DefaultParagraphFont"/>
    <w:link w:val="Heading4"/>
    <w:uiPriority w:val="9"/>
    <w:rsid w:val="003B7838"/>
    <w:rPr>
      <w:rFonts w:ascii="Garamond" w:eastAsiaTheme="majorEastAsia" w:hAnsi="Garamond" w:cstheme="majorBidi"/>
      <w:u w:val="single"/>
      <w:lang w:val="en-CA"/>
    </w:rPr>
  </w:style>
  <w:style w:type="paragraph" w:styleId="FootnoteText">
    <w:name w:val="footnote text"/>
    <w:aliases w:val="Footnote Text Char Char Char Char,FA,FA Fußnotentext,Footnote Text Char Char,Footnote Text Char Char Char Char Char Char,Footnote Text Char Char Char,Footnote Text Char4,Footnote Text Char1 Char,Char,Footnote Text Char2,FA1,FA2,FA3, Char"/>
    <w:link w:val="FootnoteTextChar"/>
    <w:unhideWhenUsed/>
    <w:rsid w:val="00EE40E5"/>
    <w:pPr>
      <w:jc w:val="both"/>
    </w:pPr>
    <w:rPr>
      <w:rFonts w:ascii="Garamond" w:hAnsi="Garamond"/>
      <w:sz w:val="20"/>
      <w:lang w:val="en-CA"/>
    </w:rPr>
  </w:style>
  <w:style w:type="character" w:customStyle="1" w:styleId="FootnoteTextChar">
    <w:name w:val="Footnote Text Char"/>
    <w:aliases w:val="Footnote Text Char Char Char Char Char,FA Char,FA Fußnotentext Char,Footnote Text Char Char Char1,Footnote Text Char Char Char Char Char Char Char,Footnote Text Char Char Char Char1,Footnote Text Char4 Char,Char Char,FA1 Char,FA2 Char"/>
    <w:basedOn w:val="DefaultParagraphFont"/>
    <w:link w:val="FootnoteText"/>
    <w:uiPriority w:val="99"/>
    <w:rsid w:val="00EE40E5"/>
    <w:rPr>
      <w:rFonts w:ascii="Garamond" w:hAnsi="Garamond"/>
      <w:sz w:val="20"/>
      <w:lang w:val="en-CA"/>
    </w:rPr>
  </w:style>
  <w:style w:type="character" w:styleId="FootnoteReference">
    <w:name w:val="footnote reference"/>
    <w:aliases w:val="Appel note de bas de page,Ref,de nota al pie"/>
    <w:basedOn w:val="DefaultParagraphFont"/>
    <w:unhideWhenUsed/>
    <w:rsid w:val="003B7838"/>
    <w:rPr>
      <w:rFonts w:ascii="Garamond" w:hAnsi="Garamond"/>
      <w:sz w:val="24"/>
      <w:vertAlign w:val="superscript"/>
    </w:rPr>
  </w:style>
  <w:style w:type="paragraph" w:styleId="Footer">
    <w:name w:val="footer"/>
    <w:basedOn w:val="Normal"/>
    <w:link w:val="FooterChar"/>
    <w:uiPriority w:val="99"/>
    <w:unhideWhenUsed/>
    <w:rsid w:val="00245F66"/>
    <w:pPr>
      <w:tabs>
        <w:tab w:val="center" w:pos="4320"/>
        <w:tab w:val="right" w:pos="8640"/>
      </w:tabs>
    </w:pPr>
  </w:style>
  <w:style w:type="character" w:customStyle="1" w:styleId="FooterChar">
    <w:name w:val="Footer Char"/>
    <w:basedOn w:val="DefaultParagraphFont"/>
    <w:link w:val="Footer"/>
    <w:uiPriority w:val="99"/>
    <w:rsid w:val="00245F66"/>
    <w:rPr>
      <w:rFonts w:ascii="Garamond" w:hAnsi="Garamond"/>
      <w:lang w:val="en-CA"/>
    </w:rPr>
  </w:style>
  <w:style w:type="character" w:styleId="PageNumber">
    <w:name w:val="page number"/>
    <w:basedOn w:val="DefaultParagraphFont"/>
    <w:uiPriority w:val="99"/>
    <w:semiHidden/>
    <w:unhideWhenUsed/>
    <w:rsid w:val="00245F66"/>
  </w:style>
  <w:style w:type="paragraph" w:styleId="Header">
    <w:name w:val="header"/>
    <w:basedOn w:val="Normal"/>
    <w:link w:val="HeaderChar"/>
    <w:uiPriority w:val="99"/>
    <w:unhideWhenUsed/>
    <w:rsid w:val="00245F66"/>
    <w:pPr>
      <w:tabs>
        <w:tab w:val="center" w:pos="4320"/>
        <w:tab w:val="right" w:pos="8640"/>
      </w:tabs>
    </w:pPr>
  </w:style>
  <w:style w:type="character" w:customStyle="1" w:styleId="HeaderChar">
    <w:name w:val="Header Char"/>
    <w:basedOn w:val="DefaultParagraphFont"/>
    <w:link w:val="Header"/>
    <w:uiPriority w:val="99"/>
    <w:rsid w:val="00245F66"/>
    <w:rPr>
      <w:rFonts w:ascii="Garamond" w:hAnsi="Garamond"/>
      <w:lang w:val="en-CA"/>
    </w:rPr>
  </w:style>
  <w:style w:type="table" w:styleId="TableGrid">
    <w:name w:val="Table Grid"/>
    <w:basedOn w:val="TableNormal"/>
    <w:uiPriority w:val="59"/>
    <w:rsid w:val="009D0F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92A22"/>
    <w:rPr>
      <w:sz w:val="18"/>
      <w:szCs w:val="18"/>
    </w:rPr>
  </w:style>
  <w:style w:type="paragraph" w:styleId="CommentText">
    <w:name w:val="annotation text"/>
    <w:basedOn w:val="Normal"/>
    <w:link w:val="CommentTextChar"/>
    <w:uiPriority w:val="99"/>
    <w:semiHidden/>
    <w:unhideWhenUsed/>
    <w:rsid w:val="00192A22"/>
  </w:style>
  <w:style w:type="character" w:customStyle="1" w:styleId="CommentTextChar">
    <w:name w:val="Comment Text Char"/>
    <w:basedOn w:val="DefaultParagraphFont"/>
    <w:link w:val="CommentText"/>
    <w:uiPriority w:val="99"/>
    <w:semiHidden/>
    <w:rsid w:val="00192A22"/>
    <w:rPr>
      <w:rFonts w:ascii="Garamond" w:hAnsi="Garamond"/>
      <w:lang w:val="en-CA"/>
    </w:rPr>
  </w:style>
  <w:style w:type="paragraph" w:styleId="CommentSubject">
    <w:name w:val="annotation subject"/>
    <w:basedOn w:val="CommentText"/>
    <w:next w:val="CommentText"/>
    <w:link w:val="CommentSubjectChar"/>
    <w:uiPriority w:val="99"/>
    <w:semiHidden/>
    <w:unhideWhenUsed/>
    <w:rsid w:val="00192A22"/>
    <w:rPr>
      <w:b/>
      <w:bCs/>
      <w:sz w:val="20"/>
      <w:szCs w:val="20"/>
    </w:rPr>
  </w:style>
  <w:style w:type="character" w:customStyle="1" w:styleId="CommentSubjectChar">
    <w:name w:val="Comment Subject Char"/>
    <w:basedOn w:val="CommentTextChar"/>
    <w:link w:val="CommentSubject"/>
    <w:uiPriority w:val="99"/>
    <w:semiHidden/>
    <w:rsid w:val="00192A22"/>
    <w:rPr>
      <w:rFonts w:ascii="Garamond" w:hAnsi="Garamond"/>
      <w:b/>
      <w:bCs/>
      <w:sz w:val="20"/>
      <w:szCs w:val="20"/>
      <w:lang w:val="en-CA"/>
    </w:rPr>
  </w:style>
  <w:style w:type="paragraph" w:styleId="DocumentMap">
    <w:name w:val="Document Map"/>
    <w:basedOn w:val="Normal"/>
    <w:link w:val="DocumentMapChar"/>
    <w:uiPriority w:val="99"/>
    <w:semiHidden/>
    <w:unhideWhenUsed/>
    <w:rsid w:val="00561740"/>
    <w:rPr>
      <w:rFonts w:ascii="Lucida Grande" w:hAnsi="Lucida Grande" w:cs="Lucida Grande"/>
    </w:rPr>
  </w:style>
  <w:style w:type="character" w:customStyle="1" w:styleId="DocumentMapChar">
    <w:name w:val="Document Map Char"/>
    <w:basedOn w:val="DefaultParagraphFont"/>
    <w:link w:val="DocumentMap"/>
    <w:uiPriority w:val="99"/>
    <w:semiHidden/>
    <w:rsid w:val="00561740"/>
    <w:rPr>
      <w:rFonts w:ascii="Lucida Grande" w:hAnsi="Lucida Grande" w:cs="Lucida Grande"/>
      <w:lang w:val="en-CA"/>
    </w:rPr>
  </w:style>
  <w:style w:type="paragraph" w:styleId="ListParagraph">
    <w:name w:val="List Paragraph"/>
    <w:basedOn w:val="Normal"/>
    <w:uiPriority w:val="34"/>
    <w:qFormat/>
    <w:rsid w:val="00E41187"/>
    <w:pPr>
      <w:ind w:left="720"/>
    </w:pPr>
  </w:style>
  <w:style w:type="character" w:styleId="Hyperlink">
    <w:name w:val="Hyperlink"/>
    <w:basedOn w:val="DefaultParagraphFont"/>
    <w:uiPriority w:val="99"/>
    <w:unhideWhenUsed/>
    <w:rsid w:val="00E41187"/>
    <w:rPr>
      <w:color w:val="0000FF" w:themeColor="hyperlink"/>
      <w:u w:val="single"/>
    </w:rPr>
  </w:style>
  <w:style w:type="character" w:styleId="Strong">
    <w:name w:val="Strong"/>
    <w:basedOn w:val="DefaultParagraphFont"/>
    <w:qFormat/>
    <w:rsid w:val="00AC53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53621">
      <w:bodyDiv w:val="1"/>
      <w:marLeft w:val="0"/>
      <w:marRight w:val="0"/>
      <w:marTop w:val="0"/>
      <w:marBottom w:val="0"/>
      <w:divBdr>
        <w:top w:val="none" w:sz="0" w:space="0" w:color="auto"/>
        <w:left w:val="none" w:sz="0" w:space="0" w:color="auto"/>
        <w:bottom w:val="none" w:sz="0" w:space="0" w:color="auto"/>
        <w:right w:val="none" w:sz="0" w:space="0" w:color="auto"/>
      </w:divBdr>
    </w:div>
    <w:div w:id="715395717">
      <w:bodyDiv w:val="1"/>
      <w:marLeft w:val="0"/>
      <w:marRight w:val="0"/>
      <w:marTop w:val="0"/>
      <w:marBottom w:val="0"/>
      <w:divBdr>
        <w:top w:val="none" w:sz="0" w:space="0" w:color="auto"/>
        <w:left w:val="none" w:sz="0" w:space="0" w:color="auto"/>
        <w:bottom w:val="none" w:sz="0" w:space="0" w:color="auto"/>
        <w:right w:val="none" w:sz="0" w:space="0" w:color="auto"/>
      </w:divBdr>
    </w:div>
    <w:div w:id="8644456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37D94-6F2B-446A-B406-9BAAFA287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10206</Words>
  <Characters>58180</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Jodoin</dc:creator>
  <cp:keywords/>
  <dc:description/>
  <cp:lastModifiedBy>Lindsay Buchanan</cp:lastModifiedBy>
  <cp:revision>2</cp:revision>
  <cp:lastPrinted>2013-04-15T18:17:00Z</cp:lastPrinted>
  <dcterms:created xsi:type="dcterms:W3CDTF">2013-06-25T15:15:00Z</dcterms:created>
  <dcterms:modified xsi:type="dcterms:W3CDTF">2013-06-25T15:15:00Z</dcterms:modified>
</cp:coreProperties>
</file>